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rFonts w:ascii="Courier New" w:cs="Courier New" w:eastAsia="Courier New" w:hAnsi="Courier New"/>
          <w:color w:val="4B51A3"/>
          <w:spacing w:val="50"/>
          <w:sz w:val="18"/>
          <w:szCs w:val="18"/>
        </w:rPr>
        <w:t xml:space="preserve">PIDOXA LEGAL · PERSONAL INJURY · CASE STUDY AND SCALED MODEL</w:t>
      </w:r>
    </w:p>
    <w:p>
      <w:pPr>
        <w:spacing w:after="300"/>
      </w:pPr>
      <w:r>
        <w:rPr>
          <w:rFonts w:ascii="Futura" w:cs="Futura" w:eastAsia="Futura" w:hAnsi="Futura"/>
          <w:b/>
          <w:bCs/>
          <w:color w:val="141414"/>
          <w:sz w:val="64"/>
          <w:szCs w:val="64"/>
        </w:rPr>
        <w:t xml:space="preserve">The Case Value Diagnostic</w:t>
      </w:r>
    </w:p>
    <w:p>
      <w:pPr>
        <w:spacing w:after="240" w:line="320"/>
      </w:pPr>
      <w:r>
        <w:rPr>
          <w:rFonts w:ascii="Futura" w:cs="Futura" w:eastAsia="Futura" w:hAnsi="Futura"/>
          <w:color w:val="6B6069"/>
          <w:sz w:val="24"/>
          <w:szCs w:val="24"/>
        </w:rPr>
        <w:t xml:space="preserve">Two top-tier personal injury firms: cost per signed case cut by more than half, case value up 38%. Why injury firms buy the 2s and lose the 5s, and how the SCALE engine — Signal, Create, Acquire, Lift, Expand — moves a firm's case mix on the same signed volume.</w:t>
      </w:r>
    </w:p>
    <w:p>
      <w:pPr>
        <w:spacing w:after="0" w:before="2000"/>
      </w:pPr>
      <w:r>
        <w:rPr>
          <w:rFonts w:ascii="Courier New" w:cs="Courier New" w:eastAsia="Courier New" w:hAnsi="Courier New"/>
          <w:color w:val="6B6069"/>
          <w:sz w:val="16"/>
          <w:szCs w:val="16"/>
        </w:rPr>
        <w:t xml:space="preserve">Pidoxa Marketing · Legal practice group · Centennial, Colorado · Prepared by Joe Oltmann, CRO · Client engagements referenced are under NDA</w:t>
      </w:r>
    </w:p>
    <w:p>
      <w:r>
        <w:br w:type="page"/>
      </w:r>
    </w:p>
    <w:p>
      <w:pPr>
        <w:pStyle w:val="Heading1"/>
        <w:keepNext/>
        <w:spacing w:after="160" w:before="420"/>
      </w:pPr>
      <w:r>
        <w:rPr>
          <w:rFonts w:ascii="Futura" w:cs="Futura" w:eastAsia="Futura" w:hAnsi="Futura"/>
          <w:b/>
          <w:bCs/>
          <w:color w:val="141414"/>
          <w:sz w:val="34"/>
          <w:szCs w:val="34"/>
        </w:rPr>
        <w:t xml:space="preserve">1. The argument in one page</w:t>
      </w:r>
    </w:p>
    <w:p>
      <w:pPr>
        <w:keepNext w:val="false"/>
        <w:spacing w:after="140" w:line="300"/>
      </w:pPr>
      <w:r>
        <w:rPr>
          <w:rFonts w:ascii="Futura" w:cs="Futura" w:eastAsia="Futura" w:hAnsi="Futura"/>
          <w:color w:val="141414"/>
          <w:sz w:val="21"/>
          <w:szCs w:val="21"/>
        </w:rPr>
        <w:t xml:space="preserve">Personal injury marketing in the United States is a click funnel attached to a television budget. The national brands own the television — about $1.2 billion a year, sixteen million spots, with roughly fifteen advertisers accounting for half of the spend — and everyone else buys the click: $442 for an average Google search lead, converting to a signed case five to fifteen percent of the time, for a cost per signed case between $2,900 and $8,800. The click funnel works exactly as designed. It finds people who fill out forms, and people who fill out forms after an accident are overwhelmingly tier-1 and tier-2 cases: property damage, whiplash, a parking-lot rear-ending.</w:t>
      </w:r>
    </w:p>
    <w:p>
      <w:pPr>
        <w:keepNext w:val="false"/>
        <w:spacing w:after="140" w:line="300"/>
      </w:pPr>
      <w:r>
        <w:rPr>
          <w:rFonts w:ascii="Futura" w:cs="Futura" w:eastAsia="Futura" w:hAnsi="Futura"/>
          <w:color w:val="141414"/>
          <w:sz w:val="21"/>
          <w:szCs w:val="21"/>
        </w:rPr>
        <w:t xml:space="preserve">The cases that define a firm are not won on the click. A family facing a death or a dismemberment does not shop a category. They call the name they already know, confirm it in the reviews, watch the attorney talk for ninety seconds, and sign with whoever answers first — 66% begin online, 75% research even after a referral, 53% will not consider a firm under four stars, 79% hire the most responsive firm, and 42% decide in under four days. Every one of those is a brand or an intake fact, not a media fact.</w:t>
      </w:r>
    </w:p>
    <w:p>
      <w:pPr>
        <w:keepNext w:val="false"/>
        <w:spacing w:after="140" w:line="300"/>
      </w:pPr>
      <w:r>
        <w:rPr>
          <w:rFonts w:ascii="Futura" w:cs="Futura" w:eastAsia="Futura" w:hAnsi="Futura"/>
          <w:color w:val="141414"/>
          <w:sz w:val="21"/>
          <w:szCs w:val="21"/>
        </w:rPr>
        <w:t xml:space="preserve">Pidoxa has already run this engine for two top-tier personal injury firms. At the first, fully loaded cost per signed auto case fell from $2,029 to $882 in the launch month and $1,049 across the first 90 days — 57% and 48% below the firm's own baseline. At the second, paid-search cost per tracked conversion fell 79% on ten times the conversions, and web contacts beat traditional media for the first time in sixteen months. Across both, case value per signed case rose more than 38%, measured through Pidoxa's first-party PIT attribution. Section 8 sets out each figure with its definition.</w:t>
      </w:r>
    </w:p>
    <w:p>
      <w:pPr>
        <w:keepNext w:val="false"/>
        <w:spacing w:after="140" w:line="300"/>
      </w:pPr>
      <w:r>
        <w:rPr>
          <w:rFonts w:ascii="Futura" w:cs="Futura" w:eastAsia="Futura" w:hAnsi="Futura"/>
          <w:color w:val="141414"/>
          <w:sz w:val="21"/>
          <w:szCs w:val="21"/>
        </w:rPr>
        <w:t xml:space="preserve">This paper sets out the scale Pidoxa uses to score every injury case from 1 to 5, the model that shows what moving a firm's mix is worth on the same signed volume, the symptoms a firm shows when it has not understood earned content and brand, the client journey as the injured family actually travels it, and the SCALE engine Pidoxa installs to change the mix. It is the companion to the interactive Case Value Diagnostic at pidoxa-legal.hosting.pinbn.net and to the presentation deck.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4B51A3" w:sz="24"/>
              <w:bottom w:val="none" w:color="FFFFFF" w:sz="0"/>
              <w:right w:val="none" w:color="FFFFFF" w:sz="0"/>
            </w:tcBorders>
            <w:shd w:fill="F2EFF1" w:color="auto" w:val="clear"/>
            <w:tcMar>
              <w:top w:type="dxa" w:w="140"/>
              <w:left w:type="dxa" w:w="220"/>
              <w:bottom w:type="dxa" w:w="140"/>
              <w:right w:type="dxa" w:w="220"/>
            </w:tcMar>
          </w:tcPr>
          <w:p>
            <w:pPr>
              <w:spacing w:after="0" w:line="290"/>
            </w:pPr>
            <w:r>
              <w:rPr>
                <w:rFonts w:ascii="Futura" w:cs="Futura" w:eastAsia="Futura" w:hAnsi="Futura"/>
                <w:color w:val="141414"/>
                <w:sz w:val="20"/>
                <w:szCs w:val="20"/>
              </w:rPr>
              <w:t xml:space="preserve">Every planning figure in this paper is a published industry benchmark or a modeled illustration, labeled as such. Nothing is a projection for any firm. Attorney advertising rules vary by state; nothing here is legal advice.</w:t>
            </w:r>
          </w:p>
        </w:tc>
      </w:tr>
    </w:tbl>
    <w:p>
      <w:pPr>
        <w:pStyle w:val="Heading1"/>
        <w:keepNext/>
        <w:spacing w:after="160" w:before="420"/>
      </w:pPr>
      <w:r>
        <w:rPr>
          <w:rFonts w:ascii="Futura" w:cs="Futura" w:eastAsia="Futura" w:hAnsi="Futura"/>
          <w:b/>
          <w:bCs/>
          <w:color w:val="141414"/>
          <w:sz w:val="34"/>
          <w:szCs w:val="34"/>
        </w:rPr>
        <w:t xml:space="preserve">2. The market a single-metro firm competes in</w:t>
      </w:r>
    </w:p>
    <w:p>
      <w:pPr>
        <w:pStyle w:val="Heading2"/>
        <w:keepNext/>
        <w:spacing w:after="120" w:before="300"/>
      </w:pPr>
      <w:r>
        <w:rPr>
          <w:rFonts w:ascii="Futura" w:cs="Futura" w:eastAsia="Futura" w:hAnsi="Futura"/>
          <w:b/>
          <w:bCs/>
          <w:color w:val="141414"/>
          <w:sz w:val="26"/>
          <w:szCs w:val="26"/>
        </w:rPr>
        <w:t xml:space="preserve">2.1 What the money looks like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4000"/>
        <w:gridCol w:w="2760"/>
      </w:tblGrid>
      <w:tr>
        <w:trPr>
          <w:tblHeader/>
        </w:trPr>
        <w:tc>
          <w:tcPr>
            <w:tcW w:type="dxa" w:w="2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Benchmark</w:t>
            </w:r>
          </w:p>
        </w:tc>
        <w:tc>
          <w:tcPr>
            <w:tcW w:type="dxa" w:w="40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Figure</w:t>
            </w:r>
          </w:p>
        </w:tc>
        <w:tc>
          <w:tcPr>
            <w:tcW w:type="dxa" w:w="27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Source</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Legal TV ad spend, one year</w:t>
            </w:r>
          </w:p>
        </w:tc>
        <w:tc>
          <w:tcPr>
            <w:tcW w:type="dxa" w:w="4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$1.2B · 16 million spots · one every two seconds</w:t>
            </w:r>
          </w:p>
        </w:tc>
        <w:tc>
          <w:tcPr>
            <w:tcW w:type="dxa" w:w="2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X Ante / Travelers Institute, 2024</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Concentration</w:t>
            </w:r>
          </w:p>
        </w:tc>
        <w:tc>
          <w:tcPr>
            <w:tcW w:type="dxa" w:w="4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 advertisers = half of spend; a third are lead-gen companies</w:t>
            </w:r>
          </w:p>
        </w:tc>
        <w:tc>
          <w:tcPr>
            <w:tcW w:type="dxa" w:w="2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X Ante / Travelers Institute, 2024</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Google search cost per PI lead</w:t>
            </w:r>
          </w:p>
        </w:tc>
        <w:tc>
          <w:tcPr>
            <w:tcW w:type="dxa" w:w="4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$442 average (SEO $183; LSA $378; Facebook $286; YouTube $319)</w:t>
            </w:r>
          </w:p>
        </w:tc>
        <w:tc>
          <w:tcPr>
            <w:tcW w:type="dxa" w:w="2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First Page Sage, 2026</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CPL by case type</w:t>
            </w:r>
          </w:p>
        </w:tc>
        <w:tc>
          <w:tcPr>
            <w:tcW w:type="dxa" w:w="4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Slip-and-fall $312 · auto $391 · workplace $354 · product $476 · med-mal $512</w:t>
            </w:r>
          </w:p>
        </w:tc>
        <w:tc>
          <w:tcPr>
            <w:tcW w:type="dxa" w:w="2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First Page Sage, 2026</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Lead-to-signed-case rate</w:t>
            </w:r>
          </w:p>
        </w:tc>
        <w:tc>
          <w:tcPr>
            <w:tcW w:type="dxa" w:w="4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Search 5–15% · LSA 8–12% · TV/CTV 10–15% · SEO and referrals 15–20%+</w:t>
            </w:r>
          </w:p>
        </w:tc>
        <w:tc>
          <w:tcPr>
            <w:tcW w:type="dxa" w:w="2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LexGro, 2026</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Cost per signed case</w:t>
            </w:r>
          </w:p>
        </w:tc>
        <w:tc>
          <w:tcPr>
            <w:tcW w:type="dxa" w:w="4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Search $2.9K–$8.8K · LSA $3.2K–$4.7K · TV/CTV $2K–$6K · shared leads $3K–$6K · SEO $0.9K–$1.2K</w:t>
            </w:r>
          </w:p>
        </w:tc>
        <w:tc>
          <w:tcPr>
            <w:tcW w:type="dxa" w:w="2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LexGro, 2026</w:t>
            </w:r>
          </w:p>
        </w:tc>
      </w:tr>
    </w:tbl>
    <w:p>
      <w:pPr>
        <w:spacing w:after="120"/>
      </w:pPr>
    </w:p>
    <w:p>
      <w:pPr>
        <w:pStyle w:val="Heading2"/>
        <w:keepNext/>
        <w:spacing w:after="120" w:before="300"/>
      </w:pPr>
      <w:r>
        <w:rPr>
          <w:rFonts w:ascii="Futura" w:cs="Futura" w:eastAsia="Futura" w:hAnsi="Futura"/>
          <w:b/>
          <w:bCs/>
          <w:color w:val="141414"/>
          <w:sz w:val="26"/>
          <w:szCs w:val="26"/>
        </w:rPr>
        <w:t xml:space="preserve">2.2 How injured families actually choose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1100"/>
        <w:gridCol w:w="4060"/>
      </w:tblGrid>
      <w:tr>
        <w:trPr>
          <w:tblHeader/>
        </w:trPr>
        <w:tc>
          <w:tcPr>
            <w:tcW w:type="dxa" w:w="4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Behavior</w:t>
            </w:r>
          </w:p>
        </w:tc>
        <w:tc>
          <w:tcPr>
            <w:tcW w:type="dxa" w:w="11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Share</w:t>
            </w:r>
          </w:p>
        </w:tc>
        <w:tc>
          <w:tcPr>
            <w:tcW w:type="dxa" w:w="40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Implication</w:t>
            </w:r>
          </w:p>
        </w:tc>
      </w:tr>
      <w:tr>
        <w:trPr>
          <w:tblHeader w:val="false"/>
        </w:trPr>
        <w:tc>
          <w:tcPr>
            <w:tcW w:type="dxa" w:w="4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Begin the attorney search online</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66%</w:t>
            </w:r>
          </w:p>
        </w:tc>
        <w:tc>
          <w:tcPr>
            <w:tcW w:type="dxa" w:w="4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firm must be findable by name and by category, on a phone</w:t>
            </w:r>
          </w:p>
        </w:tc>
      </w:tr>
      <w:tr>
        <w:trPr>
          <w:tblHeader w:val="false"/>
        </w:trPr>
        <w:tc>
          <w:tcPr>
            <w:tcW w:type="dxa" w:w="4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Research a firm online even after a referral</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75%</w:t>
            </w:r>
          </w:p>
        </w:tc>
        <w:tc>
          <w:tcPr>
            <w:tcW w:type="dxa" w:w="4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referral is confirmed, not accepted; reviews and video decide</w:t>
            </w:r>
          </w:p>
        </w:tc>
      </w:tr>
      <w:tr>
        <w:trPr>
          <w:tblHeader w:val="false"/>
        </w:trPr>
        <w:tc>
          <w:tcPr>
            <w:tcW w:type="dxa" w:w="4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Visit up to five review sites before contacting</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62%</w:t>
            </w:r>
          </w:p>
        </w:tc>
        <w:tc>
          <w:tcPr>
            <w:tcW w:type="dxa" w:w="4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Review count and rating are the consideration set</w:t>
            </w:r>
          </w:p>
        </w:tc>
      </w:tr>
      <w:tr>
        <w:trPr>
          <w:tblHeader w:val="false"/>
        </w:trPr>
        <w:tc>
          <w:tcPr>
            <w:tcW w:type="dxa" w:w="4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Will not consider a firm under four stars</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53%</w:t>
            </w:r>
          </w:p>
        </w:tc>
        <w:tc>
          <w:tcPr>
            <w:tcW w:type="dxa" w:w="4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reviews program is a gate, not a nicety</w:t>
            </w:r>
          </w:p>
        </w:tc>
      </w:tr>
      <w:tr>
        <w:trPr>
          <w:tblHeader w:val="false"/>
        </w:trPr>
        <w:tc>
          <w:tcPr>
            <w:tcW w:type="dxa" w:w="4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Abandon a firm that does not respond within 24 hours</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72%</w:t>
            </w:r>
          </w:p>
        </w:tc>
        <w:tc>
          <w:tcPr>
            <w:tcW w:type="dxa" w:w="4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Speed to a human is the conversion event</w:t>
            </w:r>
          </w:p>
        </w:tc>
      </w:tr>
      <w:tr>
        <w:trPr>
          <w:tblHeader w:val="false"/>
        </w:trPr>
        <w:tc>
          <w:tcPr>
            <w:tcW w:type="dxa" w:w="4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Hired the attorney who was most responsive</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79%</w:t>
            </w:r>
          </w:p>
        </w:tc>
        <w:tc>
          <w:tcPr>
            <w:tcW w:type="dxa" w:w="4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Intake, not media, decides the signed case</w:t>
            </w:r>
          </w:p>
        </w:tc>
      </w:tr>
      <w:tr>
        <w:trPr>
          <w:tblHeader w:val="false"/>
        </w:trPr>
        <w:tc>
          <w:tcPr>
            <w:tcW w:type="dxa" w:w="4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Decide in under four days</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42%</w:t>
            </w:r>
          </w:p>
        </w:tc>
        <w:tc>
          <w:tcPr>
            <w:tcW w:type="dxa" w:w="4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journey from crash to retainer is measured in hours</w:t>
            </w:r>
          </w:p>
        </w:tc>
      </w:tr>
      <w:tr>
        <w:trPr>
          <w:tblHeader w:val="false"/>
        </w:trPr>
        <w:tc>
          <w:tcPr>
            <w:tcW w:type="dxa" w:w="4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Influenced by client stories, results and video</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~50%</w:t>
            </w:r>
          </w:p>
        </w:tc>
        <w:tc>
          <w:tcPr>
            <w:tcW w:type="dxa" w:w="40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Earned content is what the family watches before they call</w:t>
            </w:r>
          </w:p>
        </w:tc>
      </w:tr>
      <w:tr>
        <w:trPr>
          <w:tblHeader w:val="false"/>
        </w:trPr>
        <w:tc>
          <w:tcPr>
            <w:tcW w:type="dxa" w:w="4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Ignore a firm without live chat</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51%</w:t>
            </w:r>
          </w:p>
        </w:tc>
        <w:tc>
          <w:tcPr>
            <w:tcW w:type="dxa" w:w="40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website is the narrowest point of the journey</w:t>
            </w:r>
          </w:p>
        </w:tc>
      </w:tr>
    </w:tbl>
    <w:p>
      <w:pPr>
        <w:keepNext w:val="false"/>
        <w:spacing w:after="140" w:line="300"/>
      </w:pPr>
      <w:r>
        <w:rPr>
          <w:rFonts w:ascii="Futura" w:cs="Futura" w:eastAsia="Futura" w:hAnsi="Futura"/>
          <w:color w:val="6B6069"/>
          <w:sz w:val="17"/>
          <w:szCs w:val="17"/>
        </w:rPr>
        <w:t xml:space="preserve">Scorpion survey of ~3,000 legal consumers (2026); Martindale-Avvo (2024).</w:t>
      </w:r>
    </w:p>
    <w:p>
      <w:pPr>
        <w:pStyle w:val="Heading2"/>
        <w:keepNext/>
        <w:spacing w:after="120" w:before="300"/>
      </w:pPr>
      <w:r>
        <w:rPr>
          <w:rFonts w:ascii="Futura" w:cs="Futura" w:eastAsia="Futura" w:hAnsi="Futura"/>
          <w:b/>
          <w:bCs/>
          <w:color w:val="141414"/>
          <w:sz w:val="26"/>
          <w:szCs w:val="26"/>
        </w:rPr>
        <w:t xml:space="preserve">2.3 What happens when the family calls</w:t>
      </w:r>
    </w:p>
    <w:p>
      <w:pPr>
        <w:keepNext w:val="false"/>
        <w:spacing w:after="140" w:line="300"/>
      </w:pPr>
      <w:r>
        <w:rPr>
          <w:rFonts w:ascii="Futura" w:cs="Futura" w:eastAsia="Futura" w:hAnsi="Futura"/>
          <w:color w:val="141414"/>
          <w:sz w:val="21"/>
          <w:szCs w:val="21"/>
        </w:rPr>
        <w:t xml:space="preserve">Thirty-five percent of calls to small and mid-sized firms go unanswered during business hours. Sixty percent of after-hours and weekend calls are first-time callers — the family in the waiting room. Seventy-four percent of inquiries that reach voicemail never call back. Twenty-six percent of firms never respond to an online lead form at all, and among those that do the median response is thirteen minutes; firms responding within five minutes convert at up to three times the rate of slower responders. These are the cheapest problems in the paper to fix and the first ones the program fixes.</w:t>
      </w:r>
    </w:p>
    <w:p>
      <w:pPr>
        <w:pStyle w:val="Heading1"/>
        <w:keepNext/>
        <w:spacing w:after="160" w:before="420"/>
      </w:pPr>
      <w:r>
        <w:rPr>
          <w:rFonts w:ascii="Futura" w:cs="Futura" w:eastAsia="Futura" w:hAnsi="Futura"/>
          <w:b/>
          <w:bCs/>
          <w:color w:val="141414"/>
          <w:sz w:val="34"/>
          <w:szCs w:val="34"/>
        </w:rPr>
        <w:t xml:space="preserve">3. The case value scale</w:t>
      </w:r>
    </w:p>
    <w:p>
      <w:pPr>
        <w:keepNext w:val="false"/>
        <w:spacing w:after="140" w:line="300"/>
      </w:pPr>
      <w:r>
        <w:rPr>
          <w:rFonts w:ascii="Futura" w:cs="Futura" w:eastAsia="Futura" w:hAnsi="Futura"/>
          <w:color w:val="141414"/>
          <w:sz w:val="21"/>
          <w:szCs w:val="21"/>
        </w:rPr>
        <w:t xml:space="preserve">Pidoxa scores every intake 1 to 5. The number decides who takes the call, which media gets the credit, and what the case is worth to the firm. The planning fee per tier assumes a 33–40% contingency on published settlement benchmarks and sits deliberately inside each band; in week one of every engagement the defaults are replaced with the firm's own closed-case file.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900"/>
        <w:gridCol w:w="1900"/>
        <w:gridCol w:w="1150"/>
        <w:gridCol w:w="1150"/>
        <w:gridCol w:w="1760"/>
      </w:tblGrid>
      <w:tr>
        <w:trPr>
          <w:tblHeader/>
        </w:trPr>
        <w:tc>
          <w:tcPr>
            <w:tcW w:type="dxa" w:w="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Tier</w:t>
            </w:r>
          </w:p>
        </w:tc>
        <w:tc>
          <w:tcPr>
            <w:tcW w:type="dxa" w:w="2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Definition</w:t>
            </w:r>
          </w:p>
        </w:tc>
        <w:tc>
          <w:tcPr>
            <w:tcW w:type="dxa" w:w="1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Recovery range (benchmark)</w:t>
            </w:r>
          </w:p>
        </w:tc>
        <w:tc>
          <w:tcPr>
            <w:tcW w:type="dxa" w:w="115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Planning fee</w:t>
            </w:r>
          </w:p>
        </w:tc>
        <w:tc>
          <w:tcPr>
            <w:tcW w:type="dxa" w:w="115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Time to fee</w:t>
            </w:r>
          </w:p>
        </w:tc>
        <w:tc>
          <w:tcPr>
            <w:tcW w:type="dxa" w:w="17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Usually produced by</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1</w:t>
            </w:r>
          </w:p>
        </w:tc>
        <w:tc>
          <w:tcPr>
            <w:tcW w:type="dxa" w:w="2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Property only — no injury or none claimed</w:t>
            </w:r>
          </w:p>
        </w:tc>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$2K – $10K</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$1,500</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1–3 months</w:t>
            </w:r>
          </w:p>
        </w:tc>
        <w:tc>
          <w:tcPr>
            <w:tcW w:type="dxa" w:w="1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Search clicks, directories, walk-ins</w:t>
            </w:r>
          </w:p>
        </w:tc>
      </w:tr>
      <w:tr>
        <w:trPr>
          <w:tblHeader w:val="false"/>
        </w:trPr>
        <w:tc>
          <w:tcPr>
            <w:tcW w:type="dxa" w:w="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2</w:t>
            </w:r>
          </w:p>
        </w:tc>
        <w:tc>
          <w:tcPr>
            <w:tcW w:type="dxa" w:w="2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Soft tissue and minor — fender benders, whiplash, slip-and-fall with short treatment</w:t>
            </w:r>
          </w:p>
        </w:tc>
        <w:tc>
          <w:tcPr>
            <w:tcW w:type="dxa" w:w="1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$10K – $50K (auto average ~$37K)</w:t>
            </w:r>
          </w:p>
        </w:tc>
        <w:tc>
          <w:tcPr>
            <w:tcW w:type="dxa" w:w="115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$9,000</w:t>
            </w:r>
          </w:p>
        </w:tc>
        <w:tc>
          <w:tcPr>
            <w:tcW w:type="dxa" w:w="115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3–9 months</w:t>
            </w:r>
          </w:p>
        </w:tc>
        <w:tc>
          <w:tcPr>
            <w:tcW w:type="dxa" w:w="1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Paid search, LSAs, shared leads</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3</w:t>
            </w:r>
          </w:p>
        </w:tc>
        <w:tc>
          <w:tcPr>
            <w:tcW w:type="dxa" w:w="2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Injury, not life-threatening — fractures, surgery, moderate premises and motorcycle</w:t>
            </w:r>
          </w:p>
        </w:tc>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$50K – $250K</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$40,000</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9–18 months</w:t>
            </w:r>
          </w:p>
        </w:tc>
        <w:tc>
          <w:tcPr>
            <w:tcW w:type="dxa" w:w="1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Higher-intent search, referrals, reviews</w:t>
            </w:r>
          </w:p>
        </w:tc>
      </w:tr>
      <w:tr>
        <w:trPr>
          <w:tblHeader w:val="false"/>
        </w:trPr>
        <w:tc>
          <w:tcPr>
            <w:tcW w:type="dxa" w:w="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4</w:t>
            </w:r>
          </w:p>
        </w:tc>
        <w:tc>
          <w:tcPr>
            <w:tcW w:type="dxa" w:w="2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Catastrophic to others — dismemberment, TBI, spinal, or a death in the other vehicle</w:t>
            </w:r>
          </w:p>
        </w:tc>
        <w:tc>
          <w:tcPr>
            <w:tcW w:type="dxa" w:w="1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$250K – $2M+</w:t>
            </w:r>
          </w:p>
        </w:tc>
        <w:tc>
          <w:tcPr>
            <w:tcW w:type="dxa" w:w="115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$250,000</w:t>
            </w:r>
          </w:p>
        </w:tc>
        <w:tc>
          <w:tcPr>
            <w:tcW w:type="dxa" w:w="115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18–36 months</w:t>
            </w:r>
          </w:p>
        </w:tc>
        <w:tc>
          <w:tcPr>
            <w:tcW w:type="dxa" w:w="1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Brand recall and referral; decided in 72 hours</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5</w:t>
            </w:r>
          </w:p>
        </w:tc>
        <w:tc>
          <w:tcPr>
            <w:tcW w:type="dxa" w:w="2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Death and major tragedy — wrongful death, multiple victims, trucking, product and premises catastrophes</w:t>
            </w:r>
          </w:p>
        </w:tc>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$500K – $10M+ (WD median ~$500K)</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$600,000</w:t>
            </w:r>
          </w:p>
        </w:tc>
        <w:tc>
          <w:tcPr>
            <w:tcW w:type="dxa" w:w="115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24–48 months</w:t>
            </w:r>
          </w:p>
        </w:tc>
        <w:tc>
          <w:tcPr>
            <w:tcW w:type="dxa" w:w="1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Brand recall, earned media, the referred-to firm</w:t>
            </w:r>
          </w:p>
        </w:tc>
      </w:tr>
    </w:tbl>
    <w:p>
      <w:pPr>
        <w:spacing w:after="120"/>
      </w:pPr>
    </w:p>
    <w:p>
      <w:pPr>
        <w:keepNext w:val="false"/>
        <w:spacing w:after="140" w:line="300"/>
      </w:pPr>
      <w:r>
        <w:rPr>
          <w:rFonts w:ascii="Futura" w:cs="Futura" w:eastAsia="Futura" w:hAnsi="Futura"/>
          <w:color w:val="141414"/>
          <w:sz w:val="21"/>
          <w:szCs w:val="21"/>
        </w:rPr>
        <w:t xml:space="preserve">The scale does three jobs. At intake it is a triage script: a tier is assigned in the first ninety seconds and 4s and 5s are routed live to a senior attorney. In attribution it is the unit of value: cost per signed case is reported by tier, so the channels that build 4s and 5s get credit and budget. In the model it is the thing that moves: the program does not promise more cases, it promises different ones.</w:t>
      </w:r>
    </w:p>
    <w:p>
      <w:pPr>
        <w:pStyle w:val="Heading1"/>
        <w:keepNext/>
        <w:spacing w:after="160" w:before="420"/>
      </w:pPr>
      <w:r>
        <w:rPr>
          <w:rFonts w:ascii="Futura" w:cs="Futura" w:eastAsia="Futura" w:hAnsi="Futura"/>
          <w:b/>
          <w:bCs/>
          <w:color w:val="141414"/>
          <w:sz w:val="34"/>
          <w:szCs w:val="34"/>
        </w:rPr>
        <w:t xml:space="preserve">4. The scaled model — same volume, a mix that moves</w:t>
      </w:r>
    </w:p>
    <w:p>
      <w:pPr>
        <w:pStyle w:val="Heading2"/>
        <w:keepNext/>
        <w:spacing w:after="120" w:before="300"/>
      </w:pPr>
      <w:r>
        <w:rPr>
          <w:rFonts w:ascii="Futura" w:cs="Futura" w:eastAsia="Futura" w:hAnsi="Futura"/>
          <w:b/>
          <w:bCs/>
          <w:color w:val="141414"/>
          <w:sz w:val="26"/>
          <w:szCs w:val="26"/>
        </w:rPr>
        <w:t xml:space="preserve">4.1 Method</w:t>
      </w:r>
    </w:p>
    <w:p>
      <w:pPr>
        <w:pStyle w:val="ListParagraph"/>
        <w:numPr>
          <w:ilvl w:val="0"/>
          <w:numId w:val="2"/>
        </w:numPr>
        <w:spacing w:after="80" w:line="290"/>
      </w:pPr>
      <w:r>
        <w:rPr>
          <w:rFonts w:ascii="Futura" w:cs="Futura" w:eastAsia="Futura" w:hAnsi="Futura"/>
          <w:b/>
          <w:bCs/>
          <w:color w:val="141414"/>
          <w:sz w:val="21"/>
          <w:szCs w:val="21"/>
        </w:rPr>
        <w:t xml:space="preserve">Mix. </w:t>
      </w:r>
      <w:r>
        <w:rPr>
          <w:rFonts w:ascii="Futura" w:cs="Futura" w:eastAsia="Futura" w:hAnsi="Futura"/>
          <w:color w:val="141414"/>
          <w:sz w:val="21"/>
          <w:szCs w:val="21"/>
        </w:rPr>
        <w:t xml:space="preserve">The firm distributes its last 100 signed cases across the five tiers. Default for a paid-search-led firm: 20 / 45 / 25 / 8 / 2.</w:t>
      </w:r>
    </w:p>
    <w:p>
      <w:pPr>
        <w:pStyle w:val="ListParagraph"/>
        <w:numPr>
          <w:ilvl w:val="0"/>
          <w:numId w:val="2"/>
        </w:numPr>
        <w:spacing w:after="80" w:line="290"/>
      </w:pPr>
      <w:r>
        <w:rPr>
          <w:rFonts w:ascii="Futura" w:cs="Futura" w:eastAsia="Futura" w:hAnsi="Futura"/>
          <w:b/>
          <w:bCs/>
          <w:color w:val="141414"/>
          <w:sz w:val="21"/>
          <w:szCs w:val="21"/>
        </w:rPr>
        <w:t xml:space="preserve">Volume. </w:t>
      </w:r>
      <w:r>
        <w:rPr>
          <w:rFonts w:ascii="Futura" w:cs="Futura" w:eastAsia="Futura" w:hAnsi="Futura"/>
          <w:color w:val="141414"/>
          <w:sz w:val="21"/>
          <w:szCs w:val="21"/>
        </w:rPr>
        <w:t xml:space="preserve">Signed cases per month, held constant. Defaults by segment: boutique 6, growing 15, established 40, regional 120.</w:t>
      </w:r>
    </w:p>
    <w:p>
      <w:pPr>
        <w:pStyle w:val="ListParagraph"/>
        <w:numPr>
          <w:ilvl w:val="0"/>
          <w:numId w:val="2"/>
        </w:numPr>
        <w:spacing w:after="80" w:line="290"/>
      </w:pPr>
      <w:r>
        <w:rPr>
          <w:rFonts w:ascii="Futura" w:cs="Futura" w:eastAsia="Futura" w:hAnsi="Futura"/>
          <w:b/>
          <w:bCs/>
          <w:color w:val="141414"/>
          <w:sz w:val="21"/>
          <w:szCs w:val="21"/>
        </w:rPr>
        <w:t xml:space="preserve">Planned shift. </w:t>
      </w:r>
      <w:r>
        <w:rPr>
          <w:rFonts w:ascii="Futura" w:cs="Futura" w:eastAsia="Futura" w:hAnsi="Futura"/>
          <w:color w:val="141414"/>
          <w:sz w:val="21"/>
          <w:szCs w:val="21"/>
        </w:rPr>
        <w:t xml:space="preserve">−10 / −12 / +8 / +10 / +4 points over 12–24 months — the movement Signal, Create and Acquire are built to produce — applied 0–150%, clamped at zero and renormalized to 100.</w:t>
      </w:r>
    </w:p>
    <w:p>
      <w:pPr>
        <w:pStyle w:val="ListParagraph"/>
        <w:numPr>
          <w:ilvl w:val="0"/>
          <w:numId w:val="2"/>
        </w:numPr>
        <w:spacing w:after="80" w:line="290"/>
      </w:pPr>
      <w:r>
        <w:rPr>
          <w:rFonts w:ascii="Futura" w:cs="Futura" w:eastAsia="Futura" w:hAnsi="Futura"/>
          <w:b/>
          <w:bCs/>
          <w:color w:val="141414"/>
          <w:sz w:val="21"/>
          <w:szCs w:val="21"/>
        </w:rPr>
        <w:t xml:space="preserve">Expected fee per signed case </w:t>
      </w:r>
      <w:r>
        <w:rPr>
          <w:rFonts w:ascii="Futura" w:cs="Futura" w:eastAsia="Futura" w:hAnsi="Futura"/>
          <w:color w:val="141414"/>
          <w:sz w:val="21"/>
          <w:szCs w:val="21"/>
        </w:rPr>
        <w:t xml:space="preserve">= Σ (mix share × planning fee). Modeled annual fees = expected fee × cases per month × 12.</w:t>
      </w:r>
    </w:p>
    <w:p>
      <w:pPr>
        <w:pStyle w:val="Heading2"/>
        <w:keepNext/>
        <w:spacing w:after="120" w:before="300"/>
      </w:pPr>
      <w:r>
        <w:rPr>
          <w:rFonts w:ascii="Futura" w:cs="Futura" w:eastAsia="Futura" w:hAnsi="Futura"/>
          <w:b/>
          <w:bCs/>
          <w:color w:val="141414"/>
          <w:sz w:val="26"/>
          <w:szCs w:val="26"/>
        </w:rPr>
        <w:t xml:space="preserve">4.2 Worked default — growing firm, 15 signed cases a month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1300"/>
        <w:gridCol w:w="1200"/>
        <w:gridCol w:w="1300"/>
        <w:gridCol w:w="1200"/>
        <w:gridCol w:w="1260"/>
      </w:tblGrid>
      <w:tr>
        <w:trPr>
          <w:tblHeader/>
        </w:trPr>
        <w:tc>
          <w:tcPr>
            <w:tcW w:type="dxa" w:w="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Tier</w:t>
            </w:r>
          </w:p>
        </w:tc>
        <w:tc>
          <w:tcPr>
            <w:tcW w:type="dxa" w:w="2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Case</w:t>
            </w:r>
          </w:p>
        </w:tc>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Planning fee</w:t>
            </w:r>
          </w:p>
        </w:tc>
        <w:tc>
          <w:tcPr>
            <w:tcW w:type="dxa" w:w="1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Share today</w:t>
            </w:r>
          </w:p>
        </w:tc>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Share shifted</w:t>
            </w:r>
          </w:p>
        </w:tc>
        <w:tc>
          <w:tcPr>
            <w:tcW w:type="dxa" w:w="1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Fees today / yr</w:t>
            </w:r>
          </w:p>
        </w:tc>
        <w:tc>
          <w:tcPr>
            <w:tcW w:type="dxa" w:w="12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Fees shifted / yr</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1</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Property only</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$1,500</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20%</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10%</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$54K</w:t>
            </w:r>
          </w:p>
        </w:tc>
        <w:tc>
          <w:tcPr>
            <w:tcW w:type="dxa" w:w="1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$27K</w:t>
            </w:r>
          </w:p>
        </w:tc>
      </w:tr>
      <w:tr>
        <w:trPr>
          <w:tblHeader w:val="false"/>
        </w:trPr>
        <w:tc>
          <w:tcPr>
            <w:tcW w:type="dxa" w:w="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2</w:t>
            </w:r>
          </w:p>
        </w:tc>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Soft tissue and minor</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$9,000</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45%</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33%</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$729K</w:t>
            </w:r>
          </w:p>
        </w:tc>
        <w:tc>
          <w:tcPr>
            <w:tcW w:type="dxa" w:w="12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$535K</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3</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Injury, not life-threatening</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$40,000</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33%</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$1.8M</w:t>
            </w:r>
          </w:p>
        </w:tc>
        <w:tc>
          <w:tcPr>
            <w:tcW w:type="dxa" w:w="1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$2.4M</w:t>
            </w:r>
          </w:p>
        </w:tc>
      </w:tr>
      <w:tr>
        <w:trPr>
          <w:tblHeader w:val="false"/>
        </w:trPr>
        <w:tc>
          <w:tcPr>
            <w:tcW w:type="dxa" w:w="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4</w:t>
            </w:r>
          </w:p>
        </w:tc>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Catastrophic to others</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$250,000</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$3.6M</w:t>
            </w:r>
          </w:p>
        </w:tc>
        <w:tc>
          <w:tcPr>
            <w:tcW w:type="dxa" w:w="12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$8.1M</w:t>
            </w:r>
          </w:p>
        </w:tc>
      </w:tr>
      <w:tr>
        <w:trPr>
          <w:tblHeader w:val="false"/>
        </w:trPr>
        <w:tc>
          <w:tcPr>
            <w:tcW w:type="dxa" w:w="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5</w:t>
            </w:r>
          </w:p>
        </w:tc>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Death and major tragedy</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$600,000</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$2.2M</w:t>
            </w:r>
          </w:p>
        </w:tc>
        <w:tc>
          <w:tcPr>
            <w:tcW w:type="dxa" w:w="12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$6.5M</w:t>
            </w:r>
          </w:p>
        </w:tc>
      </w:tr>
      <w:tr>
        <w:trPr>
          <w:tblHeader w:val="false"/>
        </w:trPr>
        <w:tc>
          <w:tcPr>
            <w:tcW w:type="dxa" w:w="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
            </w:r>
          </w:p>
        </w:tc>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Expected fee per signed case</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$46,350</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$97,320</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$8.3M</w:t>
            </w:r>
          </w:p>
        </w:tc>
        <w:tc>
          <w:tcPr>
            <w:tcW w:type="dxa" w:w="12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$17.5M (+110%)</w:t>
            </w:r>
          </w:p>
        </w:tc>
      </w:tr>
    </w:tbl>
    <w:p>
      <w:pPr>
        <w:spacing w:after="120"/>
      </w:pPr>
    </w:p>
    <w:p>
      <w:pPr>
        <w:spacing w:after="160"/>
      </w:pPr>
      <w:r>
        <w:drawing>
          <wp:inline distT="0" distB="0" distL="0" distR="0">
            <wp:extent cx="5943600" cy="3333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333750"/>
                    </a:xfrm>
                    <a:prstGeom prst="rect">
                      <a:avLst/>
                    </a:prstGeom>
                  </pic:spPr>
                </pic:pic>
              </a:graphicData>
            </a:graphic>
          </wp:inline>
        </w:drawing>
      </w:r>
    </w:p>
    <w:p>
      <w:pPr>
        <w:keepNext w:val="false"/>
        <w:spacing w:after="140" w:line="300"/>
      </w:pPr>
      <w:r>
        <w:rPr>
          <w:rFonts w:ascii="Futura" w:cs="Futura" w:eastAsia="Futura" w:hAnsi="Futura"/>
          <w:color w:val="6B6069"/>
          <w:sz w:val="17"/>
          <w:szCs w:val="17"/>
        </w:rPr>
        <w:t xml:space="preserve">The model section of the interactive readout, with the four live controls (signed cases per month, shift applied, tier-4 and tier-5 planning fees). The attorney's inputs and the outputs travel with the lead to HubSpot.</w:t>
      </w:r>
    </w:p>
    <w:p>
      <w:pPr>
        <w:pStyle w:val="Heading2"/>
        <w:keepNext/>
        <w:spacing w:after="120" w:before="300"/>
      </w:pPr>
      <w:r>
        <w:rPr>
          <w:rFonts w:ascii="Futura" w:cs="Futura" w:eastAsia="Futura" w:hAnsi="Futura"/>
          <w:b/>
          <w:bCs/>
          <w:color w:val="141414"/>
          <w:sz w:val="26"/>
          <w:szCs w:val="26"/>
        </w:rPr>
        <w:t xml:space="preserve">4.3 Reading the model honestly</w:t>
      </w:r>
    </w:p>
    <w:p>
      <w:pPr>
        <w:keepNext w:val="false"/>
        <w:spacing w:after="140" w:line="300"/>
      </w:pPr>
      <w:r>
        <w:rPr>
          <w:rFonts w:ascii="Futura" w:cs="Futura" w:eastAsia="Futura" w:hAnsi="Futura"/>
          <w:color w:val="141414"/>
          <w:sz w:val="21"/>
          <w:szCs w:val="21"/>
        </w:rPr>
        <w:t xml:space="preserve">It is a planning illustration on the firm's own numbers, not a projection. Three cautions belong in every conversation. First, tier-4 and tier-5 fees realize in 18 to 48 months, so the model describes the shape of the firm two to three years out; cash flow in year one comes from tier 3 and from intake stopping the leaks it already pays for. Second, the planned shift is a program target, not a guarantee — the first ninety days establish the baseline and the quarterly read decides whether the target holds. Third, the default fee values are industry benchmarks; the firm's closed-case file replaces them in week one and the model is re-run before any media is sized.</w:t>
      </w:r>
    </w:p>
    <w:p>
      <w:pPr>
        <w:pStyle w:val="Heading2"/>
        <w:keepNext/>
        <w:spacing w:after="120" w:before="300"/>
      </w:pPr>
      <w:r>
        <w:rPr>
          <w:rFonts w:ascii="Futura" w:cs="Futura" w:eastAsia="Futura" w:hAnsi="Futura"/>
          <w:b/>
          <w:bCs/>
          <w:color w:val="141414"/>
          <w:sz w:val="26"/>
          <w:szCs w:val="26"/>
        </w:rPr>
        <w:t xml:space="preserve">4.4 What a lead is worth</w:t>
      </w:r>
    </w:p>
    <w:p>
      <w:pPr>
        <w:keepNext w:val="false"/>
        <w:spacing w:after="140" w:line="300"/>
      </w:pPr>
      <w:r>
        <w:rPr>
          <w:rFonts w:ascii="Futura" w:cs="Futura" w:eastAsia="Futura" w:hAnsi="Futura"/>
          <w:color w:val="141414"/>
          <w:sz w:val="21"/>
          <w:szCs w:val="21"/>
        </w:rPr>
        <w:t xml:space="preserve">A lead is worth its chance of signing times the fee of the case it becomes. At the default mix a signed case is worth about $46,350 in fees; with the shift, about $97,320. Against published cost-per-lead and sign-rate benchmarks: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1200"/>
        <w:gridCol w:w="1100"/>
        <w:gridCol w:w="1600"/>
        <w:gridCol w:w="1300"/>
        <w:gridCol w:w="1300"/>
        <w:gridCol w:w="960"/>
      </w:tblGrid>
      <w:tr>
        <w:trPr>
          <w:tblHeader/>
        </w:trPr>
        <w:tc>
          <w:tcPr>
            <w:tcW w:type="dxa" w:w="1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Channel</w:t>
            </w:r>
          </w:p>
        </w:tc>
        <w:tc>
          <w:tcPr>
            <w:tcW w:type="dxa" w:w="1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Cost / lead</w:t>
            </w:r>
          </w:p>
        </w:tc>
        <w:tc>
          <w:tcPr>
            <w:tcW w:type="dxa" w:w="11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Sign rate</w:t>
            </w:r>
          </w:p>
        </w:tc>
        <w:tc>
          <w:tcPr>
            <w:tcW w:type="dxa" w:w="1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Cost / signed case</w:t>
            </w:r>
          </w:p>
        </w:tc>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Lead value · today</w:t>
            </w:r>
          </w:p>
        </w:tc>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Lead value · shifted</w:t>
            </w:r>
          </w:p>
        </w:tc>
        <w:tc>
          <w:tcPr>
            <w:tcW w:type="dxa" w:w="9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SCALE letter</w:t>
            </w:r>
          </w:p>
        </w:tc>
      </w:tr>
      <w:tr>
        <w:trPr>
          <w:tblHeader w:val="false"/>
        </w:trPr>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Referrals</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$0 – $100</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 – 22%</w:t>
            </w:r>
          </w:p>
        </w:tc>
        <w:tc>
          <w:tcPr>
            <w:tcW w:type="dxa" w:w="1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under $670</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$8,575</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$18,004</w:t>
            </w:r>
          </w:p>
        </w:tc>
        <w:tc>
          <w:tcPr>
            <w:tcW w:type="dxa" w:w="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w:t>
            </w:r>
          </w:p>
        </w:tc>
      </w:tr>
      <w:tr>
        <w:trPr>
          <w:tblHeader w:val="false"/>
        </w:trPr>
        <w:tc>
          <w:tcPr>
            <w:tcW w:type="dxa" w:w="1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SEO / organic</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$183</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 – 20%</w:t>
            </w:r>
          </w:p>
        </w:tc>
        <w:tc>
          <w:tcPr>
            <w:tcW w:type="dxa" w:w="1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$915 – $1,220</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$8,111</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$17,031</w:t>
            </w:r>
          </w:p>
        </w:tc>
        <w:tc>
          <w:tcPr>
            <w:tcW w:type="dxa" w:w="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w:t>
            </w:r>
          </w:p>
        </w:tc>
      </w:tr>
      <w:tr>
        <w:trPr>
          <w:tblHeader w:val="false"/>
        </w:trPr>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Connected TV / CTV</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$300 – $600</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10 – 15%</w:t>
            </w:r>
          </w:p>
        </w:tc>
        <w:tc>
          <w:tcPr>
            <w:tcW w:type="dxa" w:w="1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$2,000 – $6,000</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$5,794</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$12,165</w:t>
            </w:r>
          </w:p>
        </w:tc>
        <w:tc>
          <w:tcPr>
            <w:tcW w:type="dxa" w:w="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w:t>
            </w:r>
          </w:p>
        </w:tc>
      </w:tr>
      <w:tr>
        <w:trPr>
          <w:tblHeader w:val="false"/>
        </w:trPr>
        <w:tc>
          <w:tcPr>
            <w:tcW w:type="dxa" w:w="1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Local Service Ads</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$378</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8 – 12%</w:t>
            </w:r>
          </w:p>
        </w:tc>
        <w:tc>
          <w:tcPr>
            <w:tcW w:type="dxa" w:w="1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$3,150 – $4,725</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$4,635</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$9,732</w:t>
            </w:r>
          </w:p>
        </w:tc>
        <w:tc>
          <w:tcPr>
            <w:tcW w:type="dxa" w:w="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w:t>
            </w:r>
          </w:p>
        </w:tc>
      </w:tr>
      <w:tr>
        <w:trPr>
          <w:tblHeader w:val="false"/>
        </w:trPr>
        <w:tc>
          <w:tcPr>
            <w:tcW w:type="dxa" w:w="1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Google search ads</w:t>
            </w:r>
          </w:p>
        </w:tc>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$442</w:t>
            </w:r>
          </w:p>
        </w:tc>
        <w:tc>
          <w:tcPr>
            <w:tcW w:type="dxa" w:w="1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 – 15%</w:t>
            </w:r>
          </w:p>
        </w:tc>
        <w:tc>
          <w:tcPr>
            <w:tcW w:type="dxa" w:w="1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$2,947 – $8,840</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$4,635</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$9,732</w:t>
            </w:r>
          </w:p>
        </w:tc>
        <w:tc>
          <w:tcPr>
            <w:tcW w:type="dxa" w:w="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w:t>
            </w:r>
          </w:p>
        </w:tc>
      </w:tr>
      <w:tr>
        <w:trPr>
          <w:tblHeader w:val="false"/>
        </w:trPr>
        <w:tc>
          <w:tcPr>
            <w:tcW w:type="dxa" w:w="1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Shared lead vendors</w:t>
            </w:r>
          </w:p>
        </w:tc>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$150 – $400</w:t>
            </w:r>
          </w:p>
        </w:tc>
        <w:tc>
          <w:tcPr>
            <w:tcW w:type="dxa" w:w="1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 – 8%</w:t>
            </w:r>
          </w:p>
        </w:tc>
        <w:tc>
          <w:tcPr>
            <w:tcW w:type="dxa" w:w="1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$1,875 – $10,000</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$2,781</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$5,839</w:t>
            </w:r>
          </w:p>
        </w:tc>
        <w:tc>
          <w:tcPr>
            <w:tcW w:type="dxa" w:w="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w:t>
            </w:r>
          </w:p>
        </w:tc>
      </w:tr>
    </w:tbl>
    <w:p>
      <w:pPr>
        <w:spacing w:after="120"/>
      </w:pPr>
    </w:p>
    <w:p>
      <w:pPr>
        <w:keepNext w:val="false"/>
        <w:spacing w:after="140" w:line="300"/>
      </w:pPr>
      <w:r>
        <w:rPr>
          <w:rFonts w:ascii="Futura" w:cs="Futura" w:eastAsia="Futura" w:hAnsi="Futura"/>
          <w:color w:val="141414"/>
          <w:sz w:val="21"/>
          <w:szCs w:val="21"/>
        </w:rPr>
        <w:t xml:space="preserve">Every channel is profitable on paper at these numbers — which is exactly why cost per lead is the wrong scoreboard. The question that matters is which channels produce the 4s and 5s, and only tier-level attribution can answer it. A firm whose search campaign produces 2s at $4,400 each is not running a profitable channel; it is renting a thin business.</w:t>
      </w:r>
    </w:p>
    <w:p>
      <w:pPr>
        <w:pStyle w:val="Heading1"/>
        <w:keepNext/>
        <w:spacing w:after="160" w:before="420"/>
      </w:pPr>
      <w:r>
        <w:rPr>
          <w:rFonts w:ascii="Futura" w:cs="Futura" w:eastAsia="Futura" w:hAnsi="Futura"/>
          <w:b/>
          <w:bCs/>
          <w:color w:val="141414"/>
          <w:sz w:val="34"/>
          <w:szCs w:val="34"/>
        </w:rPr>
        <w:t xml:space="preserve">5. Symptoms of not understanding earned content and brand</w:t>
      </w:r>
    </w:p>
    <w:p>
      <w:pPr>
        <w:keepNext w:val="false"/>
        <w:spacing w:after="140" w:line="300"/>
      </w:pPr>
      <w:r>
        <w:rPr>
          <w:rFonts w:ascii="Futura" w:cs="Futura" w:eastAsia="Futura" w:hAnsi="Futura"/>
          <w:color w:val="141414"/>
          <w:sz w:val="21"/>
          <w:szCs w:val="21"/>
        </w:rPr>
        <w:t xml:space="preserve">Most of what injury firms treat as media problems are brand problems. The table below is the diagnostic's symptom map: what the attorney experiences, what is actually causing it, and the SCALE letter that closes it. In the interactive readout the rows the attorney's own answers point at are marked.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00"/>
        <w:gridCol w:w="4600"/>
        <w:gridCol w:w="1660"/>
      </w:tblGrid>
      <w:tr>
        <w:trPr>
          <w:tblHeader/>
        </w:trPr>
        <w:tc>
          <w:tcPr>
            <w:tcW w:type="dxa" w:w="31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Symptom (as the firm experiences it)</w:t>
            </w:r>
          </w:p>
        </w:tc>
        <w:tc>
          <w:tcPr>
            <w:tcW w:type="dxa" w:w="4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Root cause</w:t>
            </w:r>
          </w:p>
        </w:tc>
        <w:tc>
          <w:tcPr>
            <w:tcW w:type="dxa" w:w="16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Closed by</w:t>
            </w:r>
          </w:p>
        </w:tc>
      </w:tr>
      <w:tr>
        <w:trPr>
          <w:tblHeader w:val="false"/>
        </w:trPr>
        <w:tc>
          <w:tcPr>
            <w:tcW w:type="dxa" w:w="3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Cost per click and per signed case rising every quarter</w:t>
            </w:r>
          </w:p>
        </w:tc>
        <w:tc>
          <w:tcPr>
            <w:tcW w:type="dxa" w:w="4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Competing for the same category clicks as every firm in the metro; no memory built, so nothing lowers the price of attention</w:t>
            </w:r>
          </w:p>
        </w:tc>
        <w:tc>
          <w:tcPr>
            <w:tcW w:type="dxa" w:w="1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 · Signal</w:t>
            </w:r>
          </w:p>
        </w:tc>
      </w:tr>
      <w:tr>
        <w:trPr>
          <w:tblHeader w:val="false"/>
        </w:trPr>
        <w:tc>
          <w:tcPr>
            <w:tcW w:type="dxa" w:w="3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The mix skews to tiers 1 and 2</w:t>
            </w:r>
          </w:p>
        </w:tc>
        <w:tc>
          <w:tcPr>
            <w:tcW w:type="dxa" w:w="4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Click funnels find people who fill out forms; 4s and 5s are decided by recall, not by search</w:t>
            </w:r>
          </w:p>
        </w:tc>
        <w:tc>
          <w:tcPr>
            <w:tcW w:type="dxa" w:w="1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 · Create</w:t>
            </w:r>
          </w:p>
        </w:tc>
      </w:tr>
      <w:tr>
        <w:trPr>
          <w:tblHeader w:val="false"/>
        </w:trPr>
        <w:tc>
          <w:tcPr>
            <w:tcW w:type="dxa" w:w="3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National firms bidding on the firm's name</w:t>
            </w:r>
          </w:p>
        </w:tc>
        <w:tc>
          <w:tcPr>
            <w:tcW w:type="dxa" w:w="4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Nobody searches the name often enough to make that expensive for them; branded search is the output of earned content</w:t>
            </w:r>
          </w:p>
        </w:tc>
        <w:tc>
          <w:tcPr>
            <w:tcW w:type="dxa" w:w="1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 · Create + S · Signal</w:t>
            </w:r>
          </w:p>
        </w:tc>
      </w:tr>
      <w:tr>
        <w:trPr>
          <w:tblHeader w:val="false"/>
        </w:trPr>
        <w:tc>
          <w:tcPr>
            <w:tcW w:type="dxa" w:w="3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The big case shows up as a referral fee paid out</w:t>
            </w:r>
          </w:p>
        </w:tc>
        <w:tc>
          <w:tcPr>
            <w:tcW w:type="dxa" w:w="4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family called the name they knew; the firm co-counsels in at a third and loses the result, the review and the story</w:t>
            </w:r>
          </w:p>
        </w:tc>
        <w:tc>
          <w:tcPr>
            <w:tcW w:type="dxa" w:w="1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 · Expand</w:t>
            </w:r>
          </w:p>
        </w:tc>
      </w:tr>
      <w:tr>
        <w:trPr>
          <w:tblHeader w:val="false"/>
        </w:trPr>
        <w:tc>
          <w:tcPr>
            <w:tcW w:type="dxa" w:w="3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Review count flat; no attorney video anywhere</w:t>
            </w:r>
          </w:p>
        </w:tc>
        <w:tc>
          <w:tcPr>
            <w:tcW w:type="dxa" w:w="4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Earned content is not produced on purpose; case close does not trigger a review; the attorney is a headshot</w:t>
            </w:r>
          </w:p>
        </w:tc>
        <w:tc>
          <w:tcPr>
            <w:tcW w:type="dxa" w:w="1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 · Create</w:t>
            </w:r>
          </w:p>
        </w:tc>
      </w:tr>
      <w:tr>
        <w:trPr>
          <w:tblHeader w:val="false"/>
        </w:trPr>
        <w:tc>
          <w:tcPr>
            <w:tcW w:type="dxa" w:w="3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 billboard or TV spot nobody can connect to a call</w:t>
            </w:r>
          </w:p>
        </w:tc>
        <w:tc>
          <w:tcPr>
            <w:tcW w:type="dxa" w:w="4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No brand-lift measurement; branded search, direct traffic and review velocity are the scoreboard for memory media and nobody reads it</w:t>
            </w:r>
          </w:p>
        </w:tc>
        <w:tc>
          <w:tcPr>
            <w:tcW w:type="dxa" w:w="1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 · Lift</w:t>
            </w:r>
          </w:p>
        </w:tc>
      </w:tr>
      <w:tr>
        <w:trPr>
          <w:tblHeader w:val="false"/>
        </w:trPr>
        <w:tc>
          <w:tcPr>
            <w:tcW w:type="dxa" w:w="3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Intake treats every call the same</w:t>
            </w:r>
          </w:p>
        </w:tc>
        <w:tc>
          <w:tcPr>
            <w:tcW w:type="dxa" w:w="4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Nobody told intake what a 5 sounds like, because the firm never wrote down who its best clients are</w:t>
            </w:r>
          </w:p>
        </w:tc>
        <w:tc>
          <w:tcPr>
            <w:tcW w:type="dxa" w:w="1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 Acquire</w:t>
            </w:r>
          </w:p>
        </w:tc>
      </w:tr>
      <w:tr>
        <w:trPr>
          <w:tblHeader w:val="false"/>
        </w:trPr>
        <w:tc>
          <w:tcPr>
            <w:tcW w:type="dxa" w:w="31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After-hours calls go to voicemail or a message service</w:t>
            </w:r>
          </w:p>
        </w:tc>
        <w:tc>
          <w:tcPr>
            <w:tcW w:type="dxa" w:w="4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journey was designed around office hours; the family's journey was not</w:t>
            </w:r>
          </w:p>
        </w:tc>
        <w:tc>
          <w:tcPr>
            <w:tcW w:type="dxa" w:w="16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 · Acquire</w:t>
            </w:r>
          </w:p>
        </w:tc>
      </w:tr>
      <w:tr>
        <w:trPr>
          <w:tblHeader w:val="false"/>
        </w:trPr>
        <w:tc>
          <w:tcPr>
            <w:tcW w:type="dxa" w:w="31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Dependence on shared-lead vendors</w:t>
            </w:r>
          </w:p>
        </w:tc>
        <w:tc>
          <w:tcPr>
            <w:tcW w:type="dxa" w:w="4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Renting demand because the brand does not generate its own; the vendor's economics reward 2s</w:t>
            </w:r>
          </w:p>
        </w:tc>
        <w:tc>
          <w:tcPr>
            <w:tcW w:type="dxa" w:w="16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 · Signal</w:t>
            </w:r>
          </w:p>
        </w:tc>
      </w:tr>
    </w:tbl>
    <w:p>
      <w:pPr>
        <w:spacing w:after="120"/>
      </w:pPr>
    </w:p>
    <w:p>
      <w:pPr>
        <w:pStyle w:val="Heading2"/>
        <w:keepNext/>
        <w:spacing w:after="120" w:before="300"/>
      </w:pPr>
      <w:r>
        <w:rPr>
          <w:rFonts w:ascii="Futura" w:cs="Futura" w:eastAsia="Futura" w:hAnsi="Futura"/>
          <w:b/>
          <w:bCs/>
          <w:color w:val="141414"/>
          <w:sz w:val="26"/>
          <w:szCs w:val="26"/>
        </w:rPr>
        <w:t xml:space="preserve">5.1 Why earned content decides the 4s and 5s</w:t>
      </w:r>
    </w:p>
    <w:p>
      <w:pPr>
        <w:keepNext w:val="false"/>
        <w:spacing w:after="140" w:line="300"/>
      </w:pPr>
      <w:r>
        <w:rPr>
          <w:rFonts w:ascii="Futura" w:cs="Futura" w:eastAsia="Futura" w:hAnsi="Futura"/>
          <w:color w:val="141414"/>
          <w:sz w:val="21"/>
          <w:szCs w:val="21"/>
        </w:rPr>
        <w:t xml:space="preserve">A catastrophic case is remembered before it is researched. The spouse or parent searches the name they have seen on the screen in their living room, asks the nurse, reads the reviews, watches the attorney talk, and calls. If nothing is there, the paid impression the firm bought is wasted. If something is there, every paid dollar works harder — which is why Pidoxa measures memory media by what it does to branded search and direct traffic rather than by last clicks. Earned content is not a nice-to-have beside the media plan. It is the thing the media plan is paying to be confirmed by.</w:t>
      </w:r>
    </w:p>
    <w:p>
      <w:pPr>
        <w:keepNext w:val="false"/>
        <w:spacing w:after="140" w:line="300"/>
      </w:pPr>
      <w:r>
        <w:rPr>
          <w:rFonts w:ascii="Futura" w:cs="Futura" w:eastAsia="Futura" w:hAnsi="Futura"/>
          <w:color w:val="141414"/>
          <w:sz w:val="21"/>
          <w:szCs w:val="21"/>
        </w:rPr>
        <w:t xml:space="preserve">The national brands have understood this for twenty years, which is why they buy television and why they buy your name in search. A single-metro firm will not out-spend them. It can out-remember them in one metro — with connected TV where their broadcast buy cannot follow a household, with content that earns the search instead of buying it, and with intake that answers in five minutes when their call center puts the family on hold.</w:t>
      </w:r>
    </w:p>
    <w:p>
      <w:pPr>
        <w:pStyle w:val="Heading1"/>
        <w:keepNext/>
        <w:spacing w:after="160" w:before="420"/>
      </w:pPr>
      <w:r>
        <w:rPr>
          <w:rFonts w:ascii="Futura" w:cs="Futura" w:eastAsia="Futura" w:hAnsi="Futura"/>
          <w:b/>
          <w:bCs/>
          <w:color w:val="141414"/>
          <w:sz w:val="34"/>
          <w:szCs w:val="34"/>
        </w:rPr>
        <w:t xml:space="preserve">6. The client journey — the family's path, the friction, what Pidoxa removes</w:t>
      </w:r>
    </w:p>
    <w:p>
      <w:pPr>
        <w:keepNext w:val="false"/>
        <w:spacing w:after="140" w:line="300"/>
      </w:pPr>
      <w:r>
        <w:rPr>
          <w:rFonts w:ascii="Futura" w:cs="Futura" w:eastAsia="Futura" w:hAnsi="Futura"/>
          <w:color w:val="141414"/>
          <w:sz w:val="21"/>
          <w:szCs w:val="21"/>
        </w:rPr>
        <w:t xml:space="preserve">The program is designed to the journey the injured person and the family actually travel, because in the cases that matter the injured person is not the one with the phone. Each stage has a friction point where the tier-5 case is lost and a SCALE capability that removes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900"/>
        <w:gridCol w:w="3400"/>
        <w:gridCol w:w="3560"/>
      </w:tblGrid>
      <w:tr>
        <w:trPr>
          <w:tblHeader/>
        </w:trPr>
        <w:tc>
          <w:tcPr>
            <w:tcW w:type="dxa" w:w="1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Stage</w:t>
            </w:r>
          </w:p>
        </w:tc>
        <w:tc>
          <w:tcPr>
            <w:tcW w:type="dxa" w:w="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When</w:t>
            </w:r>
          </w:p>
        </w:tc>
        <w:tc>
          <w:tcPr>
            <w:tcW w:type="dxa" w:w="34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Friction — where the 5 is lost</w:t>
            </w:r>
          </w:p>
        </w:tc>
        <w:tc>
          <w:tcPr>
            <w:tcW w:type="dxa" w:w="35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What Pidoxa removes</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Before the crash</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Months</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Nobody in the household can name an injury firm, or they can name the one on TV. Yours is not in the memory.</w:t>
            </w:r>
          </w:p>
        </w:tc>
        <w:tc>
          <w:tcPr>
            <w:tcW w:type="dxa" w:w="35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Signal + Create: CTV and streaming in the metro, attorney video and community content — the memory exists before it is needed.</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The first 72 hours</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Hours</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Shock, the ER, the insurer calling first. The injured person cannot research; the spouse or parent is searching on a phone in a waiting room.</w:t>
            </w:r>
          </w:p>
        </w:tc>
        <w:tc>
          <w:tcPr>
            <w:tcW w:type="dxa" w:w="35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Acquire: the parallel buy flow — a "what to do now" path for the family member, click-to-call, chat, plain language, no "Were you injured?" form.</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Search and ask</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Day 1–3</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They search a name if they know one, a category if they do not. They ask the nurse, a friend, Google. They read reviews on up to five sites. Under four stars, you are out.</w:t>
            </w:r>
          </w:p>
        </w:tc>
        <w:tc>
          <w:tcPr>
            <w:tcW w:type="dxa" w:w="35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Create: reviews program, case stories with disclaimers, the attorney on video. Signal: branded search defended, LSA and search on tier-3-and-up intent.</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First contact</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Minutes</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They call three firms. The first human who sounds like they know what a tier 5 is signs the case. Voicemail or "someone will call Monday" loses it.</w:t>
            </w:r>
          </w:p>
        </w:tc>
        <w:tc>
          <w:tcPr>
            <w:tcW w:type="dxa" w:w="35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Acquire: five-minute live response 24/7, tier triage in ninety seconds, a senior attorney on the line for 4s and 5s.</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Decide and sign</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Day 1–4</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42% decide inside four days. Paper retainers, "come to the office" and a confusing fee explanation lose the family still at the hospital.</w:t>
            </w:r>
          </w:p>
        </w:tc>
        <w:tc>
          <w:tcPr>
            <w:tcW w:type="dxa" w:w="35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Acquire: e-sign from the bedside, plain-language fee explanation, a named attorney and case manager in the first message.</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Treatment and the case</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Months</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Silence. The family does not hear from the firm for weeks; the referring doctor never hears back; nobody knows what tier the case is.</w:t>
            </w:r>
          </w:p>
        </w:tc>
        <w:tc>
          <w:tcPr>
            <w:tcW w:type="dxa" w:w="35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Lift: a communication cadence, referral partners closed-loop, tier and source on the file so attribution can see what built it.</w:t>
            </w:r>
          </w:p>
        </w:tc>
      </w:tr>
      <w:tr>
        <w:trPr>
          <w:tblHeader w:val="false"/>
        </w:trPr>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Resolution</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Months to years</w:t>
            </w:r>
          </w:p>
        </w:tc>
        <w:tc>
          <w:tcPr>
            <w:tcW w:type="dxa" w:w="34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case resolves, the check clears, nothing is asked of the client. The result goes in a drawer.</w:t>
            </w:r>
          </w:p>
        </w:tc>
        <w:tc>
          <w:tcPr>
            <w:tcW w:type="dxa" w:w="35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Create + Lift: the review asked at close, the story told with consent and disclaimers, NPS measured, the referral asked for.</w:t>
            </w:r>
          </w:p>
        </w:tc>
      </w:tr>
      <w:tr>
        <w:trPr>
          <w:tblHeader w:val="false"/>
        </w:trPr>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Referral and return</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Years</w:t>
            </w:r>
          </w:p>
        </w:tc>
        <w:tc>
          <w:tcPr>
            <w:tcW w:type="dxa" w:w="34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Past clients forget the firm; doctors and body shops refer by habit to whoever visited last.</w:t>
            </w:r>
          </w:p>
        </w:tc>
        <w:tc>
          <w:tcPr>
            <w:tcW w:type="dxa" w:w="35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Expand: referral partners and past clients as a channel with their own paths and tracking; co-counsel network as revenue, not fees paid out.</w:t>
            </w:r>
          </w:p>
        </w:tc>
      </w:tr>
    </w:tbl>
    <w:p>
      <w:pPr>
        <w:spacing w:after="120"/>
      </w:pPr>
    </w:p>
    <w:p>
      <w:pPr>
        <w:pStyle w:val="Heading2"/>
        <w:keepNext/>
        <w:spacing w:after="120" w:before="300"/>
      </w:pPr>
      <w:r>
        <w:rPr>
          <w:rFonts w:ascii="Futura" w:cs="Futura" w:eastAsia="Futura" w:hAnsi="Futura"/>
          <w:b/>
          <w:bCs/>
          <w:color w:val="141414"/>
          <w:sz w:val="26"/>
          <w:szCs w:val="26"/>
        </w:rPr>
        <w:t xml:space="preserve">6.1 The parallel buy flow</w:t>
      </w:r>
    </w:p>
    <w:p>
      <w:pPr>
        <w:keepNext w:val="false"/>
        <w:spacing w:after="140" w:line="300"/>
      </w:pPr>
      <w:r>
        <w:rPr>
          <w:rFonts w:ascii="Futura" w:cs="Futura" w:eastAsia="Futura" w:hAnsi="Futura"/>
          <w:color w:val="141414"/>
          <w:sz w:val="21"/>
          <w:szCs w:val="21"/>
        </w:rPr>
        <w:t xml:space="preserve">Every Pidoxa journey runs a second path for the second decision-maker — in home remodeling the spouse, in a boat purchase the partner, in fiber the household that is not yet serviceable. In injury law the second decision-maker is the family member holding the phone while the patient cannot. They have different questions (what do I do now, who do I not talk to, how do we pay for this), different fears, and a different search. "Were you injured? Get a free consultation" is not addressed to them. The parallel flow is: a plain-language "what to do in the first 72 hours" path, consent and authority handled correctly, click-to-call and chat on every screen, and intake trained to recognize that the caller is not the client.</w:t>
      </w:r>
    </w:p>
    <w:p>
      <w:pPr>
        <w:pStyle w:val="Heading1"/>
        <w:keepNext/>
        <w:spacing w:after="160" w:before="420"/>
      </w:pPr>
      <w:r>
        <w:rPr>
          <w:rFonts w:ascii="Futura" w:cs="Futura" w:eastAsia="Futura" w:hAnsi="Futura"/>
          <w:b/>
          <w:bCs/>
          <w:color w:val="141414"/>
          <w:sz w:val="34"/>
          <w:szCs w:val="34"/>
        </w:rPr>
        <w:t xml:space="preserve">7. The SCALE engine, for an injury practice</w:t>
      </w:r>
    </w:p>
    <w:p>
      <w:pPr>
        <w:keepNext w:val="false"/>
        <w:spacing w:after="140" w:line="300"/>
      </w:pPr>
      <w:r>
        <w:rPr>
          <w:rFonts w:ascii="Futura" w:cs="Futura" w:eastAsia="Futura" w:hAnsi="Futura"/>
          <w:color w:val="141414"/>
          <w:sz w:val="21"/>
          <w:szCs w:val="21"/>
        </w:rPr>
        <w:t xml:space="preserve">SCALE is the same engine framework Pidoxa installs for fiber operators and consolidation platforms, translated for an injury practice and scored as the five pillars of the diagnostic. One team, one set of definitions, one scoreboard the partners read the same way.</w:t>
      </w:r>
    </w:p>
    <w:p>
      <w:pPr>
        <w:pStyle w:val="Heading3"/>
        <w:keepNext/>
        <w:spacing w:after="80" w:before="200"/>
      </w:pPr>
      <w:r>
        <w:rPr>
          <w:rFonts w:ascii="Futura" w:cs="Futura" w:eastAsia="Futura" w:hAnsi="Futura"/>
          <w:b/>
          <w:bCs/>
          <w:color w:val="4B51A3"/>
          <w:sz w:val="22"/>
          <w:szCs w:val="22"/>
        </w:rPr>
        <w:t xml:space="preserve">S · Signal — digital and media marketing</w:t>
      </w:r>
    </w:p>
    <w:p>
      <w:pPr>
        <w:keepNext w:val="false"/>
        <w:spacing w:after="140" w:line="300"/>
      </w:pPr>
      <w:r>
        <w:rPr>
          <w:rFonts w:ascii="Futura" w:cs="Futura" w:eastAsia="Futura" w:hAnsi="Futura"/>
          <w:color w:val="141414"/>
          <w:sz w:val="21"/>
          <w:szCs w:val="21"/>
        </w:rPr>
        <w:t xml:space="preserve">Connected TV, streaming audio, programmatic and out-of-home build the memory in the metro, before the accident. Search and Local Service Ads harvest the moment on tier-3-and-up intent — commercial vehicle, surgery, fatality terms — not the cheapest "car accident lawyer" click. Branded search is defended so the national firms stop buying the firm's name. Retargeting and QuiqList visitor recapture catch what leaks: QuiqList identifies up to 75% of high-intent visitors who leave without calling, verifies the email and runs a short compliant cadence, with CCPA notice and Do-Not-Sell link included. Through The Trade Desk partnership the firm reaches about 98% of U.S. households across broadcast and streaming, switched on for one county or five states. Every channel reports into one cost per signed case, by tier.</w:t>
      </w:r>
    </w:p>
    <w:p>
      <w:pPr>
        <w:pStyle w:val="Heading3"/>
        <w:keepNext/>
        <w:spacing w:after="80" w:before="200"/>
      </w:pPr>
      <w:r>
        <w:rPr>
          <w:rFonts w:ascii="Futura" w:cs="Futura" w:eastAsia="Futura" w:hAnsi="Futura"/>
          <w:b/>
          <w:bCs/>
          <w:color w:val="4B51A3"/>
          <w:sz w:val="22"/>
          <w:szCs w:val="22"/>
        </w:rPr>
        <w:t xml:space="preserve">C · Create — earned content and brand</w:t>
      </w:r>
    </w:p>
    <w:p>
      <w:pPr>
        <w:keepNext w:val="false"/>
        <w:spacing w:after="140" w:line="300"/>
      </w:pPr>
      <w:r>
        <w:rPr>
          <w:rFonts w:ascii="Futura" w:cs="Futura" w:eastAsia="Futura" w:hAnsi="Futura"/>
          <w:color w:val="141414"/>
          <w:sz w:val="21"/>
          <w:szCs w:val="21"/>
        </w:rPr>
        <w:t xml:space="preserve">The content that makes a family in a hospital waiting room say the firm's name first. Case results told as client stories with the disclaimers the state bar requires. The attorney on video on a cadence — monthly for a boutique, weekly for an established firm — cut for connected TV, social and the site by Pidoxa Studios (five-camera studio, remote and live capture, documentary-grade client stories, commercials, webinars for referral partners). A reviews program wired to case close so every resolved matter produces proof. Community and press. This is where the 4s and 5s are won, and where most firms have never produced anything on purpose.</w:t>
      </w:r>
    </w:p>
    <w:p>
      <w:pPr>
        <w:pStyle w:val="Heading3"/>
        <w:keepNext/>
        <w:spacing w:after="80" w:before="200"/>
      </w:pPr>
      <w:r>
        <w:rPr>
          <w:rFonts w:ascii="Futura" w:cs="Futura" w:eastAsia="Futura" w:hAnsi="Futura"/>
          <w:b/>
          <w:bCs/>
          <w:color w:val="4B51A3"/>
          <w:sz w:val="22"/>
          <w:szCs w:val="22"/>
        </w:rPr>
        <w:t xml:space="preserve">A · Acquire — lead gen, nurture and the parallel buy flow</w:t>
      </w:r>
    </w:p>
    <w:p>
      <w:pPr>
        <w:keepNext w:val="false"/>
        <w:spacing w:after="140" w:line="300"/>
      </w:pPr>
      <w:r>
        <w:rPr>
          <w:rFonts w:ascii="Futura" w:cs="Futura" w:eastAsia="Futura" w:hAnsi="Futura"/>
          <w:color w:val="141414"/>
          <w:sz w:val="21"/>
          <w:szCs w:val="21"/>
        </w:rPr>
        <w:t xml:space="preserve">Five-minute live response around the clock by a trained person. A written triage script that scores the call 1–5 in ninety seconds and routes 4s and 5s live to a senior attorney. E-sign from the bedside; a named attorney and case manager in the first message. A nurture path for the family that is not ready. The parallel buy flow for the family member. Referral partners — medical providers, body shops, other attorneys, past clients — wired into a repeatable flow with their own paths and tracking. Every call recorded into the CRM with source and tier. No additional media spend; it pays in month one.</w:t>
      </w:r>
    </w:p>
    <w:p>
      <w:pPr>
        <w:pStyle w:val="Heading3"/>
        <w:keepNext/>
        <w:spacing w:after="80" w:before="200"/>
      </w:pPr>
      <w:r>
        <w:rPr>
          <w:rFonts w:ascii="Futura" w:cs="Futura" w:eastAsia="Futura" w:hAnsi="Futura"/>
          <w:b/>
          <w:bCs/>
          <w:color w:val="4B51A3"/>
          <w:sz w:val="22"/>
          <w:szCs w:val="22"/>
        </w:rPr>
        <w:t xml:space="preserve">L · Lift — brand equity strategy</w:t>
      </w:r>
    </w:p>
    <w:p>
      <w:pPr>
        <w:keepNext w:val="false"/>
        <w:spacing w:after="140" w:line="300"/>
      </w:pPr>
      <w:r>
        <w:rPr>
          <w:rFonts w:ascii="Futura" w:cs="Futura" w:eastAsia="Futura" w:hAnsi="Futura"/>
          <w:color w:val="141414"/>
          <w:sz w:val="21"/>
          <w:szCs w:val="21"/>
        </w:rPr>
        <w:t xml:space="preserve">The strategic plan and the scoreboard. Brand lift measured weekly — branded search, direct traffic, review velocity — reported next to the media spend that drove it. Tracking audited end to end (calls, forms, chats, e-signs), then role-weighted attribution by case tier, so the channels that built the 4s and 5s get the credit and the budget and the channels that only produce 1s get cut. The NPS and referral playbook. Events and earned media. One visual and verbal system across site, ads, intake and settlement letters, so every impression compounds instead of restarting the introduction. Personas refreshed quarterly from the signed-case file.</w:t>
      </w:r>
    </w:p>
    <w:p>
      <w:pPr>
        <w:pStyle w:val="Heading3"/>
        <w:keepNext/>
        <w:spacing w:after="80" w:before="200"/>
      </w:pPr>
      <w:r>
        <w:rPr>
          <w:rFonts w:ascii="Futura" w:cs="Futura" w:eastAsia="Futura" w:hAnsi="Futura"/>
          <w:b/>
          <w:bCs/>
          <w:color w:val="4B51A3"/>
          <w:sz w:val="22"/>
          <w:szCs w:val="22"/>
        </w:rPr>
        <w:t xml:space="preserve">E · Expand — new areas, channels and legs of revenue</w:t>
      </w:r>
    </w:p>
    <w:p>
      <w:pPr>
        <w:keepNext w:val="false"/>
        <w:spacing w:after="140" w:line="300"/>
      </w:pPr>
      <w:r>
        <w:rPr>
          <w:rFonts w:ascii="Futura" w:cs="Futura" w:eastAsia="Futura" w:hAnsi="Futura"/>
          <w:color w:val="141414"/>
          <w:sz w:val="21"/>
          <w:szCs w:val="21"/>
        </w:rPr>
        <w:t xml:space="preserve">"Wreck-it Ralph." The lines the firm refers out — trucking, premises, product, med-mal — built as their own journeys with their own intake scripts and co-counsel bench, so the 5s stop leaving as referral fees paid out. The next metro on the same definitions and the same scoreboard. The Spanish-language market with its own content and intake. A co-counsel and referral network that sends cases in — the brand other attorneys trust with their 5s. Mass-tort participation when the portfolio economics fit, never as a substitute for the firm's own mix. Each line scoped from the data at the end of the first ninety days, not from opinion.</w:t>
      </w:r>
    </w:p>
    <w:p>
      <w:pPr>
        <w:pStyle w:val="Heading1"/>
        <w:keepNext/>
        <w:spacing w:after="160" w:before="420"/>
      </w:pPr>
      <w:r>
        <w:rPr>
          <w:rFonts w:ascii="Futura" w:cs="Futura" w:eastAsia="Futura" w:hAnsi="Futura"/>
          <w:b/>
          <w:bCs/>
          <w:color w:val="141414"/>
          <w:sz w:val="34"/>
          <w:szCs w:val="34"/>
        </w:rPr>
        <w:t xml:space="preserve">8. Proof — two top-tier personal injury firms</w:t>
      </w:r>
    </w:p>
    <w:p>
      <w:pPr>
        <w:keepNext w:val="false"/>
        <w:spacing w:after="140" w:line="300"/>
      </w:pPr>
      <w:r>
        <w:rPr>
          <w:rFonts w:ascii="Futura" w:cs="Futura" w:eastAsia="Futura" w:hAnsi="Futura"/>
          <w:color w:val="141414"/>
          <w:sz w:val="21"/>
          <w:szCs w:val="21"/>
        </w:rPr>
        <w:t xml:space="preserve">Pidoxa has run this engine for two top-tier personal injury firms. Both engagements are under NDA: firm names, markets and dates are withheld, and the figures below are stated exactly as the engagement records support them, with their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000"/>
        <w:gridCol w:w="4760"/>
      </w:tblGrid>
      <w:tr>
        <w:trPr>
          <w:tblHeader/>
        </w:trPr>
        <w:tc>
          <w:tcPr>
            <w:tcW w:type="dxa" w:w="26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Result</w:t>
            </w:r>
          </w:p>
        </w:tc>
        <w:tc>
          <w:tcPr>
            <w:tcW w:type="dxa" w:w="20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Figure</w:t>
            </w:r>
          </w:p>
        </w:tc>
        <w:tc>
          <w:tcPr>
            <w:tcW w:type="dxa" w:w="47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Definition and source</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Cost per signed auto case, launch month (Firm A)</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$2,029 → $882 (−57%)</w:t>
            </w:r>
          </w:p>
        </w:tc>
        <w:tc>
          <w:tcPr>
            <w:tcW w:type="dxa" w:w="4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Fully loaded digital program cost (media plus Pidoxa fees) divided by signed auto cases, against the firm's own prior-year average; 143 cases signed, the most in any month on record. Program media plan and monthly reports.</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Cost per signed auto case, first 90 days (Firm A)</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$1,049 (−48%)</w:t>
            </w:r>
          </w:p>
        </w:tc>
        <w:tc>
          <w:tcPr>
            <w:tcW w:type="dxa" w:w="4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360 signed auto cases on $377,642 of total program. Months two and three ran $984 and $1,405.</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Case value per signed case (both firms)</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+38% and more</w:t>
            </w:r>
          </w:p>
        </w:tc>
        <w:tc>
          <w:tcPr>
            <w:tcW w:type="dxa" w:w="4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Change in average value per signed case between baseline and program periods, measured through Pidoxa's first-party PIT tag joined to the firms' intake and case records. Firm data under NDA; not released.</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Paid-search cost per conversion (Firm B)</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$519 → $110 (−79%)</w:t>
            </w:r>
          </w:p>
        </w:tc>
        <w:tc>
          <w:tcPr>
            <w:tcW w:type="dxa" w:w="4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Last-click, same analytics property, program year vs prior year; paid-search conversions 355 → 7,277; blended cost per conversion $155 → $56 (−64%); total tracked conversions 1,372 → 14,293. Conversions are tracked calls, forms and CTAs, not signed cases.</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Website and brand (Firm A)</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Sessions +101% · conversions +87%</w:t>
            </w:r>
          </w:p>
        </w:tc>
        <w:tc>
          <w:tcPr>
            <w:tcW w:type="dxa" w:w="4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Year over year in month four; paid search CTR 2.67% → 6.42% and conversion rate 6.16% → 16.55% against benchmarks of 2.93% and 6.98%; brand cost per conversion $196 → $108; retargeting CTR 1.43% → 2.91%.</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Website and brand (Firm B)</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Users +88% · returning visitors +630%</w:t>
            </w:r>
          </w:p>
        </w:tc>
        <w:tc>
          <w:tcPr>
            <w:tcW w:type="dxa" w:w="4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Pageviews from −6% before the program to +41% during it; phone calls and CTAs +65%; qualified leads +16% year over year; social referrals +60%; paid-search bounce 65% → 38%.</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Offline attribution (Firm A)</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Top-5 stations ≈ $118K vs bottom-5 ≈ $240K</w:t>
            </w:r>
          </w:p>
        </w:tc>
        <w:tc>
          <w:tcPr>
            <w:tcW w:type="dxa" w:w="4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21 TV and radio stations measured by website lift in the 15 minutes after each airing; average lift index 4.6, best above 10, worst below 3. Reallocation plan delivered by station, day and daypart.</w:t>
            </w:r>
          </w:p>
        </w:tc>
      </w:tr>
      <w:tr>
        <w:trPr>
          <w:tblHeader w:val="false"/>
        </w:trPr>
        <w:tc>
          <w:tcPr>
            <w:tcW w:type="dxa" w:w="26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Intake (Firm A)</w:t>
            </w:r>
          </w:p>
        </w:tc>
        <w:tc>
          <w:tcPr>
            <w:tcW w:type="dxa" w:w="2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 of calls missed</w:t>
            </w:r>
          </w:p>
        </w:tc>
        <w:tc>
          <w:tcPr>
            <w:tcW w:type="dxa" w:w="47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Dynamic call tracking into the CRM exposed call patterns; paid search the largest call source; intake scripts and workflows delivered.</w:t>
            </w:r>
          </w:p>
        </w:tc>
      </w:tr>
      <w:tr>
        <w:trPr>
          <w:tblHeader w:val="false"/>
        </w:trPr>
        <w:tc>
          <w:tcPr>
            <w:tcW w:type="dxa" w:w="26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Earned / SEO (Firm A)</w:t>
            </w:r>
          </w:p>
        </w:tc>
        <w:tc>
          <w:tcPr>
            <w:tcW w:type="dxa" w:w="2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Site health 59% → 90%</w:t>
            </w:r>
          </w:p>
        </w:tc>
        <w:tc>
          <w:tcPr>
            <w:tcW w:type="dxa" w:w="47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Crawl errors 128 → 7 in six months; 5,921 ranking keywords, 561 in the top three; ~$185K a month in equivalent paid traffic.</w:t>
            </w:r>
          </w:p>
        </w:tc>
      </w:tr>
    </w:tbl>
    <w:p>
      <w:pPr>
        <w:spacing w:after="120"/>
      </w:pPr>
    </w:p>
    <w:p>
      <w:pPr>
        <w:pStyle w:val="Heading2"/>
        <w:keepNext/>
        <w:spacing w:after="120" w:before="300"/>
      </w:pPr>
      <w:r>
        <w:rPr>
          <w:rFonts w:ascii="Futura" w:cs="Futura" w:eastAsia="Futura" w:hAnsi="Futura"/>
          <w:b/>
          <w:bCs/>
          <w:color w:val="141414"/>
          <w:sz w:val="26"/>
          <w:szCs w:val="26"/>
        </w:rPr>
        <w:t xml:space="preserve">8.1 What the two engagements taught us</w:t>
      </w:r>
    </w:p>
    <w:p>
      <w:pPr>
        <w:pStyle w:val="ListParagraph"/>
        <w:numPr>
          <w:ilvl w:val="0"/>
          <w:numId w:val="2"/>
        </w:numPr>
        <w:spacing w:after="80" w:line="290"/>
      </w:pPr>
      <w:r>
        <w:rPr>
          <w:rFonts w:ascii="Futura" w:cs="Futura" w:eastAsia="Futura" w:hAnsi="Futura"/>
          <w:b/>
          <w:bCs/>
          <w:color w:val="141414"/>
          <w:sz w:val="21"/>
          <w:szCs w:val="21"/>
        </w:rPr>
        <w:t xml:space="preserve">Memory media is measurable. </w:t>
      </w:r>
      <w:r>
        <w:rPr>
          <w:rFonts w:ascii="Futura" w:cs="Futura" w:eastAsia="Futura" w:hAnsi="Futura"/>
          <w:color w:val="141414"/>
          <w:sz w:val="21"/>
          <w:szCs w:val="21"/>
        </w:rPr>
        <w:t xml:space="preserve">Station lift windows, returning visitors and branded traffic proved what the TV and connected TV did; last click never would have.</w:t>
      </w:r>
    </w:p>
    <w:p>
      <w:pPr>
        <w:pStyle w:val="ListParagraph"/>
        <w:numPr>
          <w:ilvl w:val="0"/>
          <w:numId w:val="2"/>
        </w:numPr>
        <w:spacing w:after="80" w:line="290"/>
      </w:pPr>
      <w:r>
        <w:rPr>
          <w:rFonts w:ascii="Futura" w:cs="Futura" w:eastAsia="Futura" w:hAnsi="Futura"/>
          <w:b/>
          <w:bCs/>
          <w:color w:val="141414"/>
          <w:sz w:val="21"/>
          <w:szCs w:val="21"/>
        </w:rPr>
        <w:t xml:space="preserve">The brand asset the family recognizes wins. </w:t>
      </w:r>
      <w:r>
        <w:rPr>
          <w:rFonts w:ascii="Futura" w:cs="Futura" w:eastAsia="Futura" w:hAnsi="Futura"/>
          <w:color w:val="141414"/>
          <w:sz w:val="21"/>
          <w:szCs w:val="21"/>
        </w:rPr>
        <w:t xml:space="preserve">The firm's own brand character and Spanish-language creative outperformed every stock "were you injured?" unit across display and social.</w:t>
      </w:r>
    </w:p>
    <w:p>
      <w:pPr>
        <w:pStyle w:val="ListParagraph"/>
        <w:numPr>
          <w:ilvl w:val="0"/>
          <w:numId w:val="2"/>
        </w:numPr>
        <w:spacing w:after="80" w:line="290"/>
      </w:pPr>
      <w:r>
        <w:rPr>
          <w:rFonts w:ascii="Futura" w:cs="Futura" w:eastAsia="Futura" w:hAnsi="Futura"/>
          <w:b/>
          <w:bCs/>
          <w:color w:val="141414"/>
          <w:sz w:val="21"/>
          <w:szCs w:val="21"/>
        </w:rPr>
        <w:t xml:space="preserve">Intake is where the case is won or lost. </w:t>
      </w:r>
      <w:r>
        <w:rPr>
          <w:rFonts w:ascii="Futura" w:cs="Futura" w:eastAsia="Futura" w:hAnsi="Futura"/>
          <w:color w:val="141414"/>
          <w:sz w:val="21"/>
          <w:szCs w:val="21"/>
        </w:rPr>
        <w:t xml:space="preserve">Call tracking exposed missed calls and an outlying metro that never converted down-funnel; landing pages per case type changed the first conversation.</w:t>
      </w:r>
    </w:p>
    <w:p>
      <w:pPr>
        <w:pStyle w:val="ListParagraph"/>
        <w:numPr>
          <w:ilvl w:val="0"/>
          <w:numId w:val="2"/>
        </w:numPr>
        <w:spacing w:after="80" w:line="290"/>
      </w:pPr>
      <w:r>
        <w:rPr>
          <w:rFonts w:ascii="Futura" w:cs="Futura" w:eastAsia="Futura" w:hAnsi="Futura"/>
          <w:b/>
          <w:bCs/>
          <w:color w:val="141414"/>
          <w:sz w:val="21"/>
          <w:szCs w:val="21"/>
        </w:rPr>
        <w:t xml:space="preserve">Agree the scoreboard before you start. </w:t>
      </w:r>
      <w:r>
        <w:rPr>
          <w:rFonts w:ascii="Futura" w:cs="Futura" w:eastAsia="Futura" w:hAnsi="Futura"/>
          <w:color w:val="141414"/>
          <w:sz w:val="21"/>
          <w:szCs w:val="21"/>
        </w:rPr>
        <w:t xml:space="preserve">In one program year Pidoxa's analyst contested 126 cases the firm had labeled "TV" or "web" in 73 days — nearly doubling the cases attributable to the program. The attribution model, by tier, is now written down in week one.</w:t>
      </w:r>
    </w:p>
    <w:p>
      <w:pPr>
        <w:pStyle w:val="ListParagraph"/>
        <w:numPr>
          <w:ilvl w:val="0"/>
          <w:numId w:val="2"/>
        </w:numPr>
        <w:spacing w:after="80" w:line="290"/>
      </w:pPr>
      <w:r>
        <w:rPr>
          <w:rFonts w:ascii="Futura" w:cs="Futura" w:eastAsia="Futura" w:hAnsi="Futura"/>
          <w:b/>
          <w:bCs/>
          <w:color w:val="141414"/>
          <w:sz w:val="21"/>
          <w:szCs w:val="21"/>
        </w:rPr>
        <w:t xml:space="preserve">Volume follows the budget; value follows the plan. </w:t>
      </w:r>
      <w:r>
        <w:rPr>
          <w:rFonts w:ascii="Futura" w:cs="Futura" w:eastAsia="Futura" w:hAnsi="Futura"/>
          <w:color w:val="141414"/>
          <w:sz w:val="21"/>
          <w:szCs w:val="21"/>
        </w:rPr>
        <w:t xml:space="preserve">When media was cut, signed cases fell with it; when it ran inside the plan, the mix moved. Growth spend is released by the scoreboard, not the calendar.</w:t>
      </w:r>
    </w:p>
    <w:p>
      <w:pPr>
        <w:pStyle w:val="Heading2"/>
        <w:keepNext/>
        <w:spacing w:after="120" w:before="300"/>
      </w:pPr>
      <w:r>
        <w:rPr>
          <w:rFonts w:ascii="Futura" w:cs="Futura" w:eastAsia="Futura" w:hAnsi="Futura"/>
          <w:b/>
          <w:bCs/>
          <w:color w:val="141414"/>
          <w:sz w:val="26"/>
          <w:szCs w:val="26"/>
        </w:rPr>
        <w:t xml:space="preserve">8.2 The same engine in other markets</w:t>
      </w:r>
    </w:p>
    <w:p>
      <w:pPr>
        <w:keepNext w:val="false"/>
        <w:spacing w:after="140" w:line="300"/>
      </w:pPr>
      <w:r>
        <w:rPr>
          <w:rFonts w:ascii="Futura" w:cs="Futura" w:eastAsia="Futura" w:hAnsi="Futura"/>
          <w:color w:val="141414"/>
          <w:sz w:val="21"/>
          <w:szCs w:val="21"/>
        </w:rPr>
        <w:t xml:space="preserve">The pattern repeats outside legal: a multi-site consolidation platform with no analytics and no definition of a start, given one record from first click to first paid conversion and a $250 media-only acquisition cost against a $961 plan; a regional brand against national incumbents that kept blended acquisition cost under the ceiling through five spend tranches, top 1.5% of its peer group; a home-services attribution study in which ~1% of paid clicks became a lead and cutting memory media in half made the click funnels worse, not cheaper.</w:t>
      </w:r>
    </w:p>
    <w:p>
      <w:pPr>
        <w:pStyle w:val="Heading1"/>
        <w:keepNext/>
        <w:spacing w:after="160" w:before="420"/>
      </w:pPr>
      <w:r>
        <w:rPr>
          <w:rFonts w:ascii="Futura" w:cs="Futura" w:eastAsia="Futura" w:hAnsi="Futura"/>
          <w:b/>
          <w:bCs/>
          <w:color w:val="141414"/>
          <w:sz w:val="34"/>
          <w:szCs w:val="34"/>
        </w:rPr>
        <w:t xml:space="preserve">9. Programs, planning ranges and the first ninety days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3000"/>
        <w:gridCol w:w="1500"/>
        <w:gridCol w:w="1300"/>
        <w:gridCol w:w="900"/>
        <w:gridCol w:w="960"/>
      </w:tblGrid>
      <w:tr>
        <w:trPr>
          <w:tblHeader/>
        </w:trPr>
        <w:tc>
          <w:tcPr>
            <w:tcW w:type="dxa" w:w="17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Segment</w:t>
            </w:r>
          </w:p>
        </w:tc>
        <w:tc>
          <w:tcPr>
            <w:tcW w:type="dxa" w:w="30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Program</w:t>
            </w:r>
          </w:p>
        </w:tc>
        <w:tc>
          <w:tcPr>
            <w:tcW w:type="dxa" w:w="15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Planning range · program / mo</w:t>
            </w:r>
          </w:p>
        </w:tc>
        <w:tc>
          <w:tcPr>
            <w:tcW w:type="dxa" w:w="13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Media on top</w:t>
            </w:r>
          </w:p>
        </w:tc>
        <w:tc>
          <w:tcPr>
            <w:tcW w:type="dxa" w:w="9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Default cases / mo</w:t>
            </w:r>
          </w:p>
        </w:tc>
        <w:tc>
          <w:tcPr>
            <w:tcW w:type="dxa" w:w="9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Readout reviewed by</w:t>
            </w:r>
          </w:p>
        </w:tc>
      </w:tr>
      <w:tr>
        <w:trPr>
          <w:tblHeader w:val="false"/>
        </w:trPr>
        <w:tc>
          <w:tcPr>
            <w:tcW w:type="dxa" w:w="17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Boutique · 1–3 attorneys</w:t>
            </w:r>
          </w:p>
        </w:tc>
        <w:tc>
          <w:tcPr>
            <w:tcW w:type="dxa" w:w="3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Foundation — intake fixed, brand started, nothing wasted</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$6K – $12K</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$5K – $20K</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6</w:t>
            </w:r>
          </w:p>
        </w:tc>
        <w:tc>
          <w:tcPr>
            <w:tcW w:type="dxa" w:w="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Growth Strategist</w:t>
            </w:r>
          </w:p>
        </w:tc>
      </w:tr>
      <w:tr>
        <w:trPr>
          <w:tblHeader w:val="false"/>
        </w:trPr>
        <w:tc>
          <w:tcPr>
            <w:tcW w:type="dxa" w:w="17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Growing · 4–10</w:t>
            </w:r>
          </w:p>
        </w:tc>
        <w:tc>
          <w:tcPr>
            <w:tcW w:type="dxa" w:w="3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Full-Journey Growth — Signal, Create, Acquire and Lift under one plan</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$12K – $30K</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$20K – $75K</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15</w:t>
            </w:r>
          </w:p>
        </w:tc>
        <w:tc>
          <w:tcPr>
            <w:tcW w:type="dxa" w:w="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Senior Strategist</w:t>
            </w:r>
          </w:p>
        </w:tc>
      </w:tr>
      <w:tr>
        <w:trPr>
          <w:tblHeader w:val="false"/>
        </w:trPr>
        <w:tc>
          <w:tcPr>
            <w:tcW w:type="dxa" w:w="17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Established · 11–30</w:t>
            </w:r>
          </w:p>
        </w:tc>
        <w:tc>
          <w:tcPr>
            <w:tcW w:type="dxa" w:w="30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Market Leadership — own the metro: brand, media, studio, intake and data</w:t>
            </w:r>
          </w:p>
        </w:tc>
        <w:tc>
          <w:tcPr>
            <w:tcW w:type="dxa" w:w="15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$30K – $70K</w:t>
            </w:r>
          </w:p>
        </w:tc>
        <w:tc>
          <w:tcPr>
            <w:tcW w:type="dxa" w:w="13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$75K – $250K</w:t>
            </w:r>
          </w:p>
        </w:tc>
        <w:tc>
          <w:tcPr>
            <w:tcW w:type="dxa" w:w="9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40</w:t>
            </w:r>
          </w:p>
        </w:tc>
        <w:tc>
          <w:tcPr>
            <w:tcW w:type="dxa" w:w="9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Joe Oltmann, CRO</w:t>
            </w:r>
          </w:p>
        </w:tc>
      </w:tr>
      <w:tr>
        <w:trPr>
          <w:tblHeader w:val="false"/>
        </w:trPr>
        <w:tc>
          <w:tcPr>
            <w:tcW w:type="dxa" w:w="17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Regional · 30+ / multi-office</w:t>
            </w:r>
          </w:p>
        </w:tc>
        <w:tc>
          <w:tcPr>
            <w:tcW w:type="dxa" w:w="30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Partnership — dedicated team, enterprise media, your data, new legs of revenue</w:t>
            </w:r>
          </w:p>
        </w:tc>
        <w:tc>
          <w:tcPr>
            <w:tcW w:type="dxa" w:w="15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$70K – $150K</w:t>
            </w:r>
          </w:p>
        </w:tc>
        <w:tc>
          <w:tcPr>
            <w:tcW w:type="dxa" w:w="13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Seven figures a year</w:t>
            </w:r>
          </w:p>
        </w:tc>
        <w:tc>
          <w:tcPr>
            <w:tcW w:type="dxa" w:w="9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120</w:t>
            </w:r>
          </w:p>
        </w:tc>
        <w:tc>
          <w:tcPr>
            <w:tcW w:type="dxa" w:w="9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Joe Oltmann, CRO</w:t>
            </w:r>
          </w:p>
        </w:tc>
      </w:tr>
    </w:tbl>
    <w:p>
      <w:pPr>
        <w:keepNext w:val="false"/>
        <w:spacing w:after="140" w:line="300"/>
      </w:pPr>
      <w:r>
        <w:rPr>
          <w:rFonts w:ascii="Futura" w:cs="Futura" w:eastAsia="Futura" w:hAnsi="Futura"/>
          <w:color w:val="6B6069"/>
          <w:sz w:val="17"/>
          <w:szCs w:val="17"/>
        </w:rPr>
        <w:t xml:space="preserve">Planning bands, not quotes, scaled from the Pidoxa Marketing ranges for a high-spend vertical; confirm against the current rate card before the first firm sees them. Media sits with the firm's budget and is released by the scoreboard. One tier-4 planning fee covers roughly a year of the program at the midpoint of the range.</w:t>
      </w:r>
    </w:p>
    <w:p>
      <w:pPr>
        <w:pStyle w:val="Heading2"/>
        <w:keepNext/>
        <w:spacing w:after="120" w:before="300"/>
      </w:pPr>
      <w:r>
        <w:rPr>
          <w:rFonts w:ascii="Futura" w:cs="Futura" w:eastAsia="Futura" w:hAnsi="Futura"/>
          <w:b/>
          <w:bCs/>
          <w:color w:val="141414"/>
          <w:sz w:val="26"/>
          <w:szCs w:val="26"/>
        </w:rPr>
        <w:t xml:space="preserve">9.1 The first ninety days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4800"/>
        <w:gridCol w:w="3360"/>
      </w:tblGrid>
      <w:tr>
        <w:trPr>
          <w:tblHeader/>
        </w:trPr>
        <w:tc>
          <w:tcPr>
            <w:tcW w:type="dxa" w:w="12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Window</w:t>
            </w:r>
          </w:p>
        </w:tc>
        <w:tc>
          <w:tcPr>
            <w:tcW w:type="dxa" w:w="480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What happens</w:t>
            </w:r>
          </w:p>
        </w:tc>
        <w:tc>
          <w:tcPr>
            <w:tcW w:type="dxa" w:w="3360"/>
            <w:tcBorders>
              <w:top w:val="single" w:color="D2CBD0" w:sz="4"/>
              <w:left w:val="single" w:color="D2CBD0" w:sz="4"/>
              <w:bottom w:val="single" w:color="D2CBD0" w:sz="4"/>
              <w:right w:val="single" w:color="D2CBD0" w:sz="4"/>
            </w:tcBorders>
            <w:shd w:fill="141414" w:color="auto" w:val="clear"/>
            <w:tcMar>
              <w:top w:type="dxa" w:w="90"/>
              <w:left w:type="dxa" w:w="120"/>
              <w:bottom w:type="dxa" w:w="90"/>
              <w:right w:type="dxa" w:w="120"/>
            </w:tcMar>
          </w:tcPr>
          <w:p>
            <w:pPr>
              <w:spacing w:after="0" w:line="260"/>
            </w:pPr>
            <w:r>
              <w:rPr>
                <w:rFonts w:ascii="Futura" w:cs="Futura" w:eastAsia="Futura" w:hAnsi="Futura"/>
                <w:b/>
                <w:bCs/>
                <w:color w:val="F0EFEB"/>
                <w:sz w:val="17"/>
                <w:szCs w:val="17"/>
              </w:rPr>
              <w:t xml:space="preserve">Why in this order</w:t>
            </w:r>
          </w:p>
        </w:tc>
      </w:tr>
      <w:tr>
        <w:trPr>
          <w:tblHeader w:val="false"/>
        </w:trPr>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Week 1</w:t>
            </w:r>
          </w:p>
        </w:tc>
        <w:tc>
          <w:tcPr>
            <w:tcW w:type="dxa" w:w="4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Access, audit, test calls, tiers. Analytics, ad accounts and the case-management system joined at the contact level. Two test calls to the firm's own intake. Every signed case from the last twelve months scored 1–5 and tagged with a source.</w:t>
            </w:r>
          </w:p>
        </w:tc>
        <w:tc>
          <w:tcPr>
            <w:tcW w:type="dxa" w:w="3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baseline the model runs on; the first disagreement between what the firm believes and what the intake log says is usually the first finding.</w:t>
            </w:r>
          </w:p>
        </w:tc>
      </w:tr>
      <w:tr>
        <w:trPr>
          <w:tblHeader w:val="false"/>
        </w:trPr>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Weeks 2–3</w:t>
            </w:r>
          </w:p>
        </w:tc>
        <w:tc>
          <w:tcPr>
            <w:tcW w:type="dxa" w:w="4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Intake journey live. Five-minute response 24/7, tier-triage script written and trained, 4s and 5s routed live, e-sign on the spot, the family member's path on the site.</w:t>
            </w:r>
          </w:p>
        </w:tc>
        <w:tc>
          <w:tcPr>
            <w:tcW w:type="dxa" w:w="33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Pays before any media does, with no media spend; funds patience for the brand work.</w:t>
            </w:r>
          </w:p>
        </w:tc>
      </w:tr>
      <w:tr>
        <w:trPr>
          <w:tblHeader w:val="false"/>
        </w:trPr>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Weeks 3–5</w:t>
            </w:r>
          </w:p>
        </w:tc>
        <w:tc>
          <w:tcPr>
            <w:tcW w:type="dxa" w:w="4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Brand system, studio, search rebuilt. One visual and verbal system across site, ads, intake and letters; Pidoxa Studios shoots the attorney and the first client stories; search and LSAs rebuilt around tier-3-and-up intent; branded search defended; QuiqList live.</w:t>
            </w:r>
          </w:p>
        </w:tc>
        <w:tc>
          <w:tcPr>
            <w:tcW w:type="dxa" w:w="3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Earned content has to exist before memory media sends the family looking for it.</w:t>
            </w:r>
          </w:p>
        </w:tc>
      </w:tr>
      <w:tr>
        <w:trPr>
          <w:tblHeader w:val="false"/>
        </w:trPr>
        <w:tc>
          <w:tcPr>
            <w:tcW w:type="dxa" w:w="12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Weeks 4–8</w:t>
            </w:r>
          </w:p>
        </w:tc>
        <w:tc>
          <w:tcPr>
            <w:tcW w:type="dxa" w:w="480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Memory media live, sized to the metro. Connected TV, streaming audio and programmatic through The Trade Desk; search and social harvest; the referral and partner flow goes live with its own paths and tracking.</w:t>
            </w:r>
          </w:p>
        </w:tc>
        <w:tc>
          <w:tcPr>
            <w:tcW w:type="dxa" w:w="3360"/>
            <w:tcBorders>
              <w:top w:val="single" w:color="D2CBD0" w:sz="4"/>
              <w:left w:val="single" w:color="D2CBD0" w:sz="4"/>
              <w:bottom w:val="single" w:color="D2CBD0" w:sz="4"/>
              <w:right w:val="single" w:color="D2CBD0" w:sz="4"/>
            </w:tcBorders>
            <w:shd w:fill="FFFFFF"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memory builder, measured by branded search and direct traffic lift, not last click.</w:t>
            </w:r>
          </w:p>
        </w:tc>
      </w:tr>
      <w:tr>
        <w:trPr>
          <w:tblHeader w:val="false"/>
        </w:trPr>
        <w:tc>
          <w:tcPr>
            <w:tcW w:type="dxa" w:w="12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bCs/>
                <w:color w:val="141414"/>
                <w:sz w:val="18"/>
                <w:szCs w:val="18"/>
              </w:rPr>
              <w:t xml:space="preserve">Weeks 8–12</w:t>
            </w:r>
          </w:p>
        </w:tc>
        <w:tc>
          <w:tcPr>
            <w:tcW w:type="dxa" w:w="480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Read, cut, fund. First full read by tier: what built the 3s and up gets funded; what only produced 1s gets cut. Personas refreshed from the signed-case file. Quarter two and the first Expand line scoped from the data.</w:t>
            </w:r>
          </w:p>
        </w:tc>
        <w:tc>
          <w:tcPr>
            <w:tcW w:type="dxa" w:w="3360"/>
            <w:tcBorders>
              <w:top w:val="single" w:color="D2CBD0" w:sz="4"/>
              <w:left w:val="single" w:color="D2CBD0" w:sz="4"/>
              <w:bottom w:val="single" w:color="D2CBD0" w:sz="4"/>
              <w:right w:val="single" w:color="D2CBD0" w:sz="4"/>
            </w:tcBorders>
            <w:shd w:fill="F2EFF1" w:color="auto" w:val="clear"/>
            <w:tcMar>
              <w:top w:type="dxa" w:w="90"/>
              <w:left w:type="dxa" w:w="120"/>
              <w:bottom w:type="dxa" w:w="90"/>
              <w:right w:type="dxa" w:w="120"/>
            </w:tcMar>
          </w:tcPr>
          <w:p>
            <w:pPr>
              <w:spacing w:after="0" w:line="260"/>
            </w:pPr>
            <w:r>
              <w:rPr>
                <w:rFonts w:ascii="Futura" w:cs="Futura" w:eastAsia="Futura" w:hAnsi="Futura"/>
                <w:b w:val="false"/>
                <w:bCs w:val="false"/>
                <w:color w:val="141414"/>
                <w:sz w:val="18"/>
                <w:szCs w:val="18"/>
              </w:rPr>
              <w:t xml:space="preserve">The scoreboard, not the opinion, decides the next tranche.</w:t>
            </w:r>
          </w:p>
        </w:tc>
      </w:tr>
    </w:tbl>
    <w:p>
      <w:pPr>
        <w:pStyle w:val="Heading1"/>
        <w:keepNext/>
        <w:spacing w:after="160" w:before="420"/>
      </w:pPr>
      <w:r>
        <w:rPr>
          <w:rFonts w:ascii="Futura" w:cs="Futura" w:eastAsia="Futura" w:hAnsi="Futura"/>
          <w:b/>
          <w:bCs/>
          <w:color w:val="141414"/>
          <w:sz w:val="34"/>
          <w:szCs w:val="34"/>
        </w:rPr>
        <w:t xml:space="preserve">10. Built inside the rules</w:t>
      </w:r>
    </w:p>
    <w:p>
      <w:pPr>
        <w:keepNext w:val="false"/>
        <w:spacing w:after="140" w:line="300"/>
      </w:pPr>
      <w:r>
        <w:rPr>
          <w:rFonts w:ascii="Futura" w:cs="Futura" w:eastAsia="Futura" w:hAnsi="Futura"/>
          <w:color w:val="141414"/>
          <w:sz w:val="21"/>
          <w:szCs w:val="21"/>
        </w:rPr>
        <w:t xml:space="preserve">Attorney advertising ethics are a design constraint, not an afterthought. Everything in the program is written to ABA Model Rules 7.1–7.3 and the state's advertising rules, and bar counsel in the firm's state reviews creative before it ships.</w:t>
      </w:r>
    </w:p>
    <w:p>
      <w:pPr>
        <w:pStyle w:val="ListParagraph"/>
        <w:numPr>
          <w:ilvl w:val="0"/>
          <w:numId w:val="2"/>
        </w:numPr>
        <w:spacing w:after="80" w:line="290"/>
      </w:pPr>
      <w:r>
        <w:rPr>
          <w:rFonts w:ascii="Futura" w:cs="Futura" w:eastAsia="Futura" w:hAnsi="Futura"/>
          <w:b/>
          <w:bCs/>
          <w:color w:val="141414"/>
          <w:sz w:val="21"/>
          <w:szCs w:val="21"/>
        </w:rPr>
        <w:t xml:space="preserve">Rule 7.1. </w:t>
      </w:r>
      <w:r>
        <w:rPr>
          <w:rFonts w:ascii="Futura" w:cs="Futura" w:eastAsia="Futura" w:hAnsi="Futura"/>
          <w:color w:val="141414"/>
          <w:sz w:val="21"/>
          <w:szCs w:val="21"/>
        </w:rPr>
        <w:t xml:space="preserve">No false or misleading communication, including true statements that create unjustified expectations. No outcome guarantees. "Prior results do not guarantee a similar outcome" on every published result. Hedged language — "you may be entitled to compensation" — never promises.</w:t>
      </w:r>
    </w:p>
    <w:p>
      <w:pPr>
        <w:pStyle w:val="ListParagraph"/>
        <w:numPr>
          <w:ilvl w:val="0"/>
          <w:numId w:val="2"/>
        </w:numPr>
        <w:spacing w:after="80" w:line="290"/>
      </w:pPr>
      <w:r>
        <w:rPr>
          <w:rFonts w:ascii="Futura" w:cs="Futura" w:eastAsia="Futura" w:hAnsi="Futura"/>
          <w:b/>
          <w:bCs/>
          <w:color w:val="141414"/>
          <w:sz w:val="21"/>
          <w:szCs w:val="21"/>
        </w:rPr>
        <w:t xml:space="preserve">Rule 7.2. </w:t>
      </w:r>
      <w:r>
        <w:rPr>
          <w:rFonts w:ascii="Futura" w:cs="Futura" w:eastAsia="Futura" w:hAnsi="Futura"/>
          <w:color w:val="141414"/>
          <w:sz w:val="21"/>
          <w:szCs w:val="21"/>
        </w:rPr>
        <w:t xml:space="preserve">No paying for recommendations beyond ordinary advertising cost and qualified referral services. "Specialist" only with an accredited certifying body named. A responsible attorney or firm identified on every piece.</w:t>
      </w:r>
    </w:p>
    <w:p>
      <w:pPr>
        <w:pStyle w:val="ListParagraph"/>
        <w:numPr>
          <w:ilvl w:val="0"/>
          <w:numId w:val="2"/>
        </w:numPr>
        <w:spacing w:after="80" w:line="290"/>
      </w:pPr>
      <w:r>
        <w:rPr>
          <w:rFonts w:ascii="Futura" w:cs="Futura" w:eastAsia="Futura" w:hAnsi="Futura"/>
          <w:b/>
          <w:bCs/>
          <w:color w:val="141414"/>
          <w:sz w:val="21"/>
          <w:szCs w:val="21"/>
        </w:rPr>
        <w:t xml:space="preserve">Rule 7.3. </w:t>
      </w:r>
      <w:r>
        <w:rPr>
          <w:rFonts w:ascii="Futura" w:cs="Futura" w:eastAsia="Futura" w:hAnsi="Futura"/>
          <w:color w:val="141414"/>
          <w:sz w:val="21"/>
          <w:szCs w:val="21"/>
        </w:rPr>
        <w:t xml:space="preserve">No live in-person, telephone or real-time electronic solicitation of accident victims when financial gain is a significant motive. State waiting periods on written solicitation and "Advertising Material" labeling respected. Stop on request.</w:t>
      </w:r>
    </w:p>
    <w:p>
      <w:pPr>
        <w:pStyle w:val="ListParagraph"/>
        <w:numPr>
          <w:ilvl w:val="0"/>
          <w:numId w:val="2"/>
        </w:numPr>
        <w:spacing w:after="80" w:line="290"/>
      </w:pPr>
      <w:r>
        <w:rPr>
          <w:rFonts w:ascii="Futura" w:cs="Futura" w:eastAsia="Futura" w:hAnsi="Futura"/>
          <w:b/>
          <w:bCs/>
          <w:color w:val="141414"/>
          <w:sz w:val="21"/>
          <w:szCs w:val="21"/>
        </w:rPr>
        <w:t xml:space="preserve">State overlays and consumer law. </w:t>
      </w:r>
      <w:r>
        <w:rPr>
          <w:rFonts w:ascii="Futura" w:cs="Futura" w:eastAsia="Futura" w:hAnsi="Futura"/>
          <w:color w:val="141414"/>
          <w:sz w:val="21"/>
          <w:szCs w:val="21"/>
        </w:rPr>
        <w:t xml:space="preserve">California Business &amp; Professions Code §6157.2 and similar: no quick-cash framing, dramatizations disclosed. TCPA consent on every intake form the firm runs. CCPA/CPRA notice and a Do-Not-Sell-or-Share link for QuiqList. Client stories and results only with written consent; HIPAA-sensitive detail excluded.</w:t>
      </w:r>
    </w:p>
    <w:p>
      <w:pPr>
        <w:pStyle w:val="Heading1"/>
        <w:keepNext/>
        <w:spacing w:after="160" w:before="420"/>
      </w:pPr>
      <w:r>
        <w:rPr>
          <w:rFonts w:ascii="Futura" w:cs="Futura" w:eastAsia="Futura" w:hAnsi="Futura"/>
          <w:b/>
          <w:bCs/>
          <w:color w:val="141414"/>
          <w:sz w:val="34"/>
          <w:szCs w:val="34"/>
        </w:rPr>
        <w:t xml:space="preserve">11. Sources</w:t>
      </w:r>
    </w:p>
    <w:p>
      <w:pPr>
        <w:pStyle w:val="ListParagraph"/>
        <w:numPr>
          <w:ilvl w:val="0"/>
          <w:numId w:val="2"/>
        </w:numPr>
        <w:spacing w:after="80" w:line="290"/>
      </w:pPr>
      <w:r>
        <w:rPr>
          <w:rFonts w:ascii="Futura" w:cs="Futura" w:eastAsia="Futura" w:hAnsi="Futura"/>
          <w:color w:val="141414"/>
          <w:sz w:val="18"/>
          <w:szCs w:val="18"/>
        </w:rPr>
        <w:t xml:space="preserve">First Page Sage, Average Personal Injury Cost Per Lead (CPL): 2026 Report — CPL by channel ($442 search, $183 SEO, $378 LSA, $286 Facebook, $319 YouTube), by case type and by region.</w:t>
      </w:r>
    </w:p>
    <w:p>
      <w:pPr>
        <w:pStyle w:val="ListParagraph"/>
        <w:numPr>
          <w:ilvl w:val="0"/>
          <w:numId w:val="2"/>
        </w:numPr>
        <w:spacing w:after="80" w:line="290"/>
      </w:pPr>
      <w:r>
        <w:rPr>
          <w:rFonts w:ascii="Futura" w:cs="Futura" w:eastAsia="Futura" w:hAnsi="Futura"/>
          <w:color w:val="141414"/>
          <w:sz w:val="18"/>
          <w:szCs w:val="18"/>
        </w:rPr>
        <w:t xml:space="preserve">LexGro, PI Cost Per Lead Benchmarks (2026), citing First Page Sage, Legal Brand Marketing, DM Law Partners, Agent Zap, Rize Up Media — sign rates by channel and cost per signed case ($2.9K–$8.8K search; $3K–$6K shared leads; $915–$1,220 SEO; $2K–$6K TV/CTV).</w:t>
      </w:r>
    </w:p>
    <w:p>
      <w:pPr>
        <w:pStyle w:val="ListParagraph"/>
        <w:numPr>
          <w:ilvl w:val="0"/>
          <w:numId w:val="2"/>
        </w:numPr>
        <w:spacing w:after="80" w:line="290"/>
      </w:pPr>
      <w:r>
        <w:rPr>
          <w:rFonts w:ascii="Futura" w:cs="Futura" w:eastAsia="Futura" w:hAnsi="Futura"/>
          <w:color w:val="141414"/>
          <w:sz w:val="18"/>
          <w:szCs w:val="18"/>
        </w:rPr>
        <w:t xml:space="preserve">Scorpion, How Personal Injury Clients Choose a Law Firm in 2026 — survey of ~3,000 legal consumers (66% start online; 75% research after a referral; 62% visit up to five review sites; 72% abandon after 24 hours; 42% decide in under four days; 53% exclude firms under four stars; 51% ignore firms without live chat; ~50% influenced by stories, results and video).</w:t>
      </w:r>
    </w:p>
    <w:p>
      <w:pPr>
        <w:pStyle w:val="ListParagraph"/>
        <w:numPr>
          <w:ilvl w:val="0"/>
          <w:numId w:val="2"/>
        </w:numPr>
        <w:spacing w:after="80" w:line="290"/>
      </w:pPr>
      <w:r>
        <w:rPr>
          <w:rFonts w:ascii="Futura" w:cs="Futura" w:eastAsia="Futura" w:hAnsi="Futura"/>
          <w:color w:val="141414"/>
          <w:sz w:val="18"/>
          <w:szCs w:val="18"/>
        </w:rPr>
        <w:t xml:space="preserve">Hennessey Digital intake study (2025) via Hyperleap and Pareto Legal — 26% of firms never respond to online leads; 13-minute median response; 25% within five minutes.</w:t>
      </w:r>
    </w:p>
    <w:p>
      <w:pPr>
        <w:pStyle w:val="ListParagraph"/>
        <w:numPr>
          <w:ilvl w:val="0"/>
          <w:numId w:val="2"/>
        </w:numPr>
        <w:spacing w:after="80" w:line="290"/>
      </w:pPr>
      <w:r>
        <w:rPr>
          <w:rFonts w:ascii="Futura" w:cs="Futura" w:eastAsia="Futura" w:hAnsi="Futura"/>
          <w:color w:val="141414"/>
          <w:sz w:val="18"/>
          <w:szCs w:val="18"/>
        </w:rPr>
        <w:t xml:space="preserve">Clio Legal Trends Report (2024) — 33% of firms respond to prospect emails; 40% answer calls; intake technology correlates with 51% more leads and 52% higher revenue.</w:t>
      </w:r>
    </w:p>
    <w:p>
      <w:pPr>
        <w:pStyle w:val="ListParagraph"/>
        <w:numPr>
          <w:ilvl w:val="0"/>
          <w:numId w:val="2"/>
        </w:numPr>
        <w:spacing w:after="80" w:line="290"/>
      </w:pPr>
      <w:r>
        <w:rPr>
          <w:rFonts w:ascii="Futura" w:cs="Futura" w:eastAsia="Futura" w:hAnsi="Futura"/>
          <w:color w:val="141414"/>
          <w:sz w:val="18"/>
          <w:szCs w:val="18"/>
        </w:rPr>
        <w:t xml:space="preserve">Law Leaders (2025); Law.com LawyerPages — 35% of calls to small and mid-sized firms unanswered in business hours; 60% of after-hours calls are first-time callers; 74% voicemail drop-off.</w:t>
      </w:r>
    </w:p>
    <w:p>
      <w:pPr>
        <w:pStyle w:val="ListParagraph"/>
        <w:numPr>
          <w:ilvl w:val="0"/>
          <w:numId w:val="2"/>
        </w:numPr>
        <w:spacing w:after="80" w:line="290"/>
      </w:pPr>
      <w:r>
        <w:rPr>
          <w:rFonts w:ascii="Futura" w:cs="Futura" w:eastAsia="Futura" w:hAnsi="Futura"/>
          <w:color w:val="141414"/>
          <w:sz w:val="18"/>
          <w:szCs w:val="18"/>
        </w:rPr>
        <w:t xml:space="preserve">Martindale-Avvo legal consumer study (2024) — 79% hired the most responsive attorney. LawHustle — up to 3× conversion for five-minute response.</w:t>
      </w:r>
    </w:p>
    <w:p>
      <w:pPr>
        <w:pStyle w:val="ListParagraph"/>
        <w:numPr>
          <w:ilvl w:val="0"/>
          <w:numId w:val="2"/>
        </w:numPr>
        <w:spacing w:after="80" w:line="290"/>
      </w:pPr>
      <w:r>
        <w:rPr>
          <w:rFonts w:ascii="Futura" w:cs="Futura" w:eastAsia="Futura" w:hAnsi="Futura"/>
          <w:color w:val="141414"/>
          <w:sz w:val="18"/>
          <w:szCs w:val="18"/>
        </w:rPr>
        <w:t xml:space="preserve">X Ante (Rustin Silverstein), presented at the Travelers Institute, reported by Carrier Management (March 2024) — $1.2B legal TV ad spend, 16 million spots, ~15 advertisers for half of spend, one third of them lead-generation companies.</w:t>
      </w:r>
    </w:p>
    <w:p>
      <w:pPr>
        <w:pStyle w:val="ListParagraph"/>
        <w:numPr>
          <w:ilvl w:val="0"/>
          <w:numId w:val="2"/>
        </w:numPr>
        <w:spacing w:after="80" w:line="290"/>
      </w:pPr>
      <w:r>
        <w:rPr>
          <w:rFonts w:ascii="Futura" w:cs="Futura" w:eastAsia="Futura" w:hAnsi="Futura"/>
          <w:color w:val="141414"/>
          <w:sz w:val="18"/>
          <w:szCs w:val="18"/>
        </w:rPr>
        <w:t xml:space="preserve">CasePeer, Personal Injury Settlement Amount Examples: 2025 Payouts Guide — soft-tissue $10K–$50K; slip-and-fall $10K–$50K average; car-accident average $37,249 across 4,500 cases (Brown &amp; Crouppen); amputation $750K–$5M+ (Louis W. Grande); wrongful-death median ~$490K–$500K, verdicts $2M+ (Hall Dixon Law); catastrophic $50K–$5M+ (Scher, Bassett &amp; Hames).</w:t>
      </w:r>
    </w:p>
    <w:p>
      <w:pPr>
        <w:pStyle w:val="ListParagraph"/>
        <w:numPr>
          <w:ilvl w:val="0"/>
          <w:numId w:val="2"/>
        </w:numPr>
        <w:spacing w:after="80" w:line="290"/>
      </w:pPr>
      <w:r>
        <w:rPr>
          <w:rFonts w:ascii="Futura" w:cs="Futura" w:eastAsia="Futura" w:hAnsi="Futura"/>
          <w:color w:val="141414"/>
          <w:sz w:val="18"/>
          <w:szCs w:val="18"/>
        </w:rPr>
        <w:t xml:space="preserve">ABA Model Rules of Professional Conduct 7.1–7.3; California Business &amp; Professions Code §6157.2; state advertising and solicitation rule variations (ABA Center for Professional Responsibility). Pidoxa internal: Lifetime Home Remodeling attribution study (Sept 2026), QuiqList modeling (Sept 2026), Fiber Velocity Penetration Diagnostic and Pidoxa Marketing Growth Plan journey rationale documents (Oct 2026).</w:t>
      </w:r>
    </w:p>
    <w:sectPr>
      <w:headerReference w:type="default" r:id="rId7"/>
      <w:footerReference w:type="default" r:id="rId8"/>
      <w:pgSz w:w="12240" w:h="15840" w:orient="portrait"/>
      <w:pgMar w:top="1300" w:right="1440" w:bottom="12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spacing w:after="0"/>
    </w:pPr>
    <w:r>
      <w:rPr>
        <w:rFonts w:ascii="Courier New" w:cs="Courier New" w:eastAsia="Courier New" w:hAnsi="Courier New"/>
        <w:color w:val="6B6069"/>
        <w:sz w:val="14"/>
        <w:szCs w:val="14"/>
      </w:rPr>
      <w:t xml:space="preserve">Pidoxa Legal · The Case Value Diagnostic · Case study and scaled model · October 2026</w:t>
    </w:r>
    <w:r>
      <w:rPr>
        <w:rFonts w:ascii="Courier New" w:cs="Courier New" w:eastAsia="Courier New" w:hAnsi="Courier New"/>
        <w:sz w:val="14"/>
        <w:szCs w:val="14"/>
      </w:rPr>
      <w:t xml:space="preserve">	</w:t>
    </w:r>
    <w:r>
      <w:rPr>
        <w:rFonts w:ascii="Courier New" w:cs="Courier New" w:eastAsia="Courier New" w:hAnsi="Courier New"/>
        <w:color w:val="6B606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rPr>
        <w:rFonts w:ascii="Courier New" w:cs="Courier New" w:eastAsia="Courier New" w:hAnsi="Courier New"/>
        <w:color w:val="6B6069"/>
        <w:spacing w:val="40"/>
        <w:sz w:val="15"/>
        <w:szCs w:val="15"/>
      </w:rPr>
      <w:t xml:space="preserve">PIDOXA  ·  LEGAL PRACTICE GROUP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4B51A3"/>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utura" w:cs="Futura" w:eastAsia="Futura" w:hAnsi="Futura"/>
        <w:color w:val="1414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e64d7905084446f38bd0a327435184f9f0e42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Pidoxa Legal · The Case Value Diagnostic · Case study and scaled model · October 2026</dc:title>
  <dc:creator>Pidoxa</dc:creator>
  <cp:lastModifiedBy>Un-named</cp:lastModifiedBy>
  <cp:revision>1</cp:revision>
  <dcterms:created xsi:type="dcterms:W3CDTF">2026-10-04T22:13:31.637Z</dcterms:created>
  <dcterms:modified xsi:type="dcterms:W3CDTF">2026-10-04T22:13:31.638Z</dcterms:modified>
</cp:coreProperties>
</file>

<file path=docProps/custom.xml><?xml version="1.0" encoding="utf-8"?>
<Properties xmlns="http://schemas.openxmlformats.org/officeDocument/2006/custom-properties" xmlns:vt="http://schemas.openxmlformats.org/officeDocument/2006/docPropsVTypes"/>
</file>